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bCs/>
          <w:color w:val="auto"/>
          <w:spacing w:val="-23"/>
          <w:sz w:val="40"/>
          <w:szCs w:val="40"/>
          <w:highlight w:val="none"/>
          <w:lang w:eastAsia="zh-CN"/>
        </w:rPr>
      </w:pPr>
      <w:bookmarkStart w:id="115" w:name="_GoBack"/>
      <w:bookmarkEnd w:id="115"/>
      <w:r>
        <w:rPr>
          <w:rFonts w:hint="eastAsia" w:ascii="方正小标宋_GBK" w:hAnsi="黑体" w:eastAsia="方正小标宋_GBK"/>
          <w:bCs/>
          <w:color w:val="auto"/>
          <w:spacing w:val="-23"/>
          <w:sz w:val="40"/>
          <w:szCs w:val="40"/>
          <w:highlight w:val="none"/>
          <w:lang w:eastAsia="zh-CN"/>
        </w:rPr>
        <w:t>泸县2024年柑橘黄龙病监测调查及柑橘木虱普查</w:t>
      </w:r>
    </w:p>
    <w:p>
      <w:pPr>
        <w:jc w:val="center"/>
        <w:rPr>
          <w:rFonts w:hint="eastAsia" w:ascii="方正小标宋_GBK" w:hAnsi="黑体" w:eastAsia="方正小标宋_GBK"/>
          <w:bCs/>
          <w:color w:val="auto"/>
          <w:spacing w:val="-23"/>
          <w:sz w:val="40"/>
          <w:szCs w:val="40"/>
          <w:highlight w:val="none"/>
          <w:lang w:eastAsia="zh-CN"/>
        </w:rPr>
      </w:pPr>
      <w:r>
        <w:rPr>
          <w:rFonts w:hint="eastAsia" w:ascii="方正小标宋_GBK" w:hAnsi="黑体" w:eastAsia="方正小标宋_GBK"/>
          <w:bCs/>
          <w:color w:val="auto"/>
          <w:spacing w:val="-23"/>
          <w:sz w:val="40"/>
          <w:szCs w:val="40"/>
          <w:highlight w:val="none"/>
          <w:lang w:eastAsia="zh-CN"/>
        </w:rPr>
        <w:t>服务项目</w:t>
      </w:r>
    </w:p>
    <w:p>
      <w:pPr>
        <w:jc w:val="center"/>
        <w:rPr>
          <w:rFonts w:ascii="宋体" w:hAnsi="宋体"/>
          <w:color w:val="auto"/>
          <w:sz w:val="36"/>
          <w:szCs w:val="36"/>
          <w:highlight w:val="none"/>
        </w:rPr>
      </w:pPr>
    </w:p>
    <w:p>
      <w:pPr>
        <w:pStyle w:val="15"/>
        <w:rPr>
          <w:color w:val="auto"/>
          <w:highlight w:val="none"/>
        </w:rPr>
      </w:pP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询</w:t>
      </w: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价</w:t>
      </w: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文</w:t>
      </w: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件</w:t>
      </w:r>
    </w:p>
    <w:p>
      <w:pPr>
        <w:jc w:val="center"/>
        <w:rPr>
          <w:rFonts w:ascii="宋体" w:hAnsi="宋体"/>
          <w:b/>
          <w:color w:val="auto"/>
          <w:sz w:val="44"/>
          <w:szCs w:val="44"/>
          <w:highlight w:val="none"/>
        </w:rPr>
      </w:pPr>
    </w:p>
    <w:p>
      <w:pPr>
        <w:jc w:val="center"/>
        <w:rPr>
          <w:rFonts w:ascii="宋体" w:hAnsi="宋体"/>
          <w:color w:val="auto"/>
          <w:sz w:val="36"/>
          <w:szCs w:val="36"/>
          <w:highlight w:val="none"/>
        </w:rPr>
      </w:pPr>
    </w:p>
    <w:p>
      <w:pPr>
        <w:spacing w:line="360" w:lineRule="auto"/>
        <w:jc w:val="center"/>
        <w:rPr>
          <w:b/>
          <w:color w:val="auto"/>
          <w:sz w:val="32"/>
          <w:szCs w:val="32"/>
          <w:highlight w:val="none"/>
        </w:rPr>
      </w:pPr>
      <w:r>
        <w:rPr>
          <w:rFonts w:hint="eastAsia"/>
          <w:b/>
          <w:color w:val="auto"/>
          <w:sz w:val="32"/>
          <w:szCs w:val="32"/>
          <w:highlight w:val="none"/>
        </w:rPr>
        <w:t>中国·四川</w:t>
      </w:r>
    </w:p>
    <w:p>
      <w:pPr>
        <w:spacing w:line="360" w:lineRule="auto"/>
        <w:jc w:val="center"/>
        <w:rPr>
          <w:b/>
          <w:color w:val="auto"/>
          <w:sz w:val="32"/>
          <w:szCs w:val="32"/>
          <w:highlight w:val="none"/>
        </w:rPr>
      </w:pPr>
      <w:r>
        <w:rPr>
          <w:rFonts w:hint="eastAsia"/>
          <w:b/>
          <w:color w:val="auto"/>
          <w:sz w:val="32"/>
          <w:szCs w:val="32"/>
          <w:highlight w:val="none"/>
        </w:rPr>
        <w:t>采购单位全称：</w:t>
      </w:r>
      <w:r>
        <w:rPr>
          <w:rFonts w:hint="eastAsia"/>
          <w:b/>
          <w:color w:val="auto"/>
          <w:sz w:val="32"/>
          <w:szCs w:val="32"/>
          <w:highlight w:val="none"/>
          <w:lang w:eastAsia="zh-CN"/>
        </w:rPr>
        <w:t>泸县</w:t>
      </w:r>
      <w:r>
        <w:rPr>
          <w:rFonts w:hint="eastAsia"/>
          <w:b/>
          <w:color w:val="auto"/>
          <w:sz w:val="32"/>
          <w:szCs w:val="32"/>
          <w:highlight w:val="none"/>
        </w:rPr>
        <w:t xml:space="preserve">农业农村局 </w:t>
      </w:r>
      <w:r>
        <w:rPr>
          <w:b/>
          <w:color w:val="auto"/>
          <w:sz w:val="32"/>
          <w:szCs w:val="32"/>
          <w:highlight w:val="none"/>
        </w:rPr>
        <w:t xml:space="preserve">   </w:t>
      </w:r>
      <w:r>
        <w:rPr>
          <w:rFonts w:hint="eastAsia"/>
          <w:b/>
          <w:color w:val="auto"/>
          <w:sz w:val="32"/>
          <w:szCs w:val="32"/>
          <w:highlight w:val="none"/>
        </w:rPr>
        <w:t>编制</w:t>
      </w:r>
    </w:p>
    <w:p>
      <w:pPr>
        <w:spacing w:line="360" w:lineRule="auto"/>
        <w:jc w:val="center"/>
        <w:rPr>
          <w:b/>
          <w:bCs/>
          <w:color w:val="auto"/>
          <w:sz w:val="32"/>
          <w:szCs w:val="32"/>
          <w:highlight w:val="none"/>
          <w:lang w:val="zh-CN"/>
        </w:rPr>
        <w:sectPr>
          <w:pgSz w:w="11906" w:h="16838"/>
          <w:pgMar w:top="1440" w:right="1746" w:bottom="1440" w:left="1746" w:header="851" w:footer="992" w:gutter="0"/>
          <w:pgNumType w:start="1"/>
          <w:cols w:space="720" w:num="1"/>
          <w:docGrid w:type="lines" w:linePitch="312" w:charSpace="0"/>
        </w:sectPr>
      </w:pPr>
      <w:r>
        <w:rPr>
          <w:rFonts w:hint="eastAsia"/>
          <w:b/>
          <w:color w:val="auto"/>
          <w:sz w:val="32"/>
          <w:szCs w:val="32"/>
          <w:highlight w:val="none"/>
        </w:rPr>
        <w:t>202</w:t>
      </w:r>
      <w:r>
        <w:rPr>
          <w:rFonts w:hint="eastAsia"/>
          <w:b/>
          <w:color w:val="auto"/>
          <w:sz w:val="32"/>
          <w:szCs w:val="32"/>
          <w:highlight w:val="none"/>
          <w:lang w:val="en-US" w:eastAsia="zh-CN"/>
        </w:rPr>
        <w:t>4</w:t>
      </w:r>
      <w:r>
        <w:rPr>
          <w:b/>
          <w:bCs/>
          <w:color w:val="auto"/>
          <w:sz w:val="32"/>
          <w:szCs w:val="32"/>
          <w:highlight w:val="none"/>
          <w:lang w:val="zh-CN"/>
        </w:rPr>
        <w:t>年</w:t>
      </w:r>
      <w:r>
        <w:rPr>
          <w:rFonts w:hint="eastAsia"/>
          <w:b/>
          <w:bCs/>
          <w:color w:val="auto"/>
          <w:sz w:val="32"/>
          <w:szCs w:val="32"/>
          <w:highlight w:val="none"/>
          <w:lang w:val="en-US" w:eastAsia="zh-CN"/>
        </w:rPr>
        <w:t>11</w:t>
      </w:r>
      <w:r>
        <w:rPr>
          <w:b/>
          <w:bCs/>
          <w:color w:val="auto"/>
          <w:sz w:val="32"/>
          <w:szCs w:val="32"/>
          <w:highlight w:val="none"/>
          <w:lang w:val="zh-CN"/>
        </w:rPr>
        <w:t>月</w:t>
      </w:r>
    </w:p>
    <w:p>
      <w:pPr>
        <w:rPr>
          <w:color w:val="auto"/>
          <w:sz w:val="28"/>
          <w:szCs w:val="28"/>
          <w:highlight w:val="none"/>
        </w:rPr>
      </w:pPr>
    </w:p>
    <w:sdt>
      <w:sdtPr>
        <w:rPr>
          <w:rFonts w:ascii="宋体" w:hAnsi="宋体"/>
          <w:color w:val="auto"/>
          <w:sz w:val="28"/>
          <w:szCs w:val="28"/>
          <w:highlight w:val="none"/>
        </w:rPr>
        <w:id w:val="147457657"/>
        <w15:color w:val="DBDBDB"/>
        <w:docPartObj>
          <w:docPartGallery w:val="Table of Contents"/>
          <w:docPartUnique/>
        </w:docPartObj>
      </w:sdtPr>
      <w:sdtEndPr>
        <w:rPr>
          <w:rFonts w:ascii="宋体" w:hAnsi="宋体" w:cs="宋体"/>
          <w:color w:val="auto"/>
          <w:sz w:val="28"/>
          <w:szCs w:val="28"/>
          <w:highlight w:val="none"/>
        </w:rPr>
      </w:sdtEndPr>
      <w:sdtContent>
        <w:p>
          <w:pPr>
            <w:jc w:val="center"/>
            <w:rPr>
              <w:color w:val="auto"/>
              <w:sz w:val="28"/>
              <w:szCs w:val="28"/>
              <w:highlight w:val="none"/>
            </w:rPr>
          </w:pPr>
          <w:r>
            <w:rPr>
              <w:rFonts w:ascii="宋体" w:hAnsi="宋体"/>
              <w:color w:val="auto"/>
              <w:sz w:val="28"/>
              <w:szCs w:val="28"/>
              <w:highlight w:val="none"/>
            </w:rPr>
            <w:t>目录</w:t>
          </w:r>
        </w:p>
        <w:p>
          <w:pPr>
            <w:pStyle w:val="15"/>
            <w:tabs>
              <w:tab w:val="right" w:leader="dot" w:pos="8414"/>
            </w:tabs>
            <w:rPr>
              <w:color w:val="auto"/>
              <w:highlight w:val="none"/>
            </w:rPr>
          </w:pP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TOC \o "1-1" \h \u </w:instrText>
          </w:r>
          <w:r>
            <w:rPr>
              <w:rFonts w:ascii="宋体" w:hAnsi="宋体" w:cs="宋体"/>
              <w:color w:val="auto"/>
              <w:sz w:val="28"/>
              <w:szCs w:val="28"/>
              <w:highlight w:val="none"/>
            </w:rPr>
            <w:fldChar w:fldCharType="separate"/>
          </w: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_Toc18661 </w:instrText>
          </w:r>
          <w:r>
            <w:rPr>
              <w:rFonts w:ascii="宋体" w:hAnsi="宋体" w:cs="宋体"/>
              <w:color w:val="auto"/>
              <w:szCs w:val="28"/>
              <w:highlight w:val="none"/>
            </w:rPr>
            <w:fldChar w:fldCharType="separate"/>
          </w:r>
          <w:r>
            <w:rPr>
              <w:rFonts w:hint="eastAsia"/>
              <w:color w:val="auto"/>
              <w:highlight w:val="none"/>
            </w:rPr>
            <w:t xml:space="preserve">第一章 </w:t>
          </w:r>
          <w:r>
            <w:rPr>
              <w:rFonts w:hint="eastAsia"/>
              <w:color w:val="auto"/>
              <w:highlight w:val="none"/>
              <w:lang w:eastAsia="zh-CN"/>
            </w:rPr>
            <w:t>询价邀请</w:t>
          </w:r>
          <w:r>
            <w:rPr>
              <w:color w:val="auto"/>
              <w:highlight w:val="none"/>
            </w:rPr>
            <w:tab/>
          </w:r>
          <w:r>
            <w:rPr>
              <w:color w:val="auto"/>
              <w:highlight w:val="none"/>
            </w:rPr>
            <w:fldChar w:fldCharType="begin"/>
          </w:r>
          <w:r>
            <w:rPr>
              <w:color w:val="auto"/>
              <w:highlight w:val="none"/>
            </w:rPr>
            <w:instrText xml:space="preserve"> PAGEREF _Toc18661 \h </w:instrText>
          </w:r>
          <w:r>
            <w:rPr>
              <w:color w:val="auto"/>
              <w:highlight w:val="none"/>
            </w:rPr>
            <w:fldChar w:fldCharType="separate"/>
          </w:r>
          <w:r>
            <w:rPr>
              <w:color w:val="auto"/>
              <w:highlight w:val="none"/>
            </w:rPr>
            <w:t>1</w:t>
          </w:r>
          <w:r>
            <w:rPr>
              <w:color w:val="auto"/>
              <w:highlight w:val="none"/>
            </w:rPr>
            <w:fldChar w:fldCharType="end"/>
          </w:r>
          <w:r>
            <w:rPr>
              <w:rFonts w:ascii="宋体" w:hAnsi="宋体" w:cs="宋体"/>
              <w:color w:val="auto"/>
              <w:szCs w:val="28"/>
              <w:highlight w:val="none"/>
            </w:rPr>
            <w:fldChar w:fldCharType="end"/>
          </w:r>
        </w:p>
        <w:p>
          <w:pPr>
            <w:pStyle w:val="15"/>
            <w:tabs>
              <w:tab w:val="right" w:leader="dot" w:pos="8414"/>
            </w:tabs>
            <w:rPr>
              <w:color w:val="auto"/>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_Toc14532 </w:instrText>
          </w:r>
          <w:r>
            <w:rPr>
              <w:rFonts w:ascii="宋体" w:hAnsi="宋体" w:cs="宋体"/>
              <w:color w:val="auto"/>
              <w:szCs w:val="28"/>
              <w:highlight w:val="none"/>
            </w:rPr>
            <w:fldChar w:fldCharType="separate"/>
          </w:r>
          <w:r>
            <w:rPr>
              <w:rFonts w:hint="eastAsia" w:ascii="宋体" w:hAnsi="宋体" w:cs="仿宋"/>
              <w:color w:val="auto"/>
              <w:szCs w:val="36"/>
              <w:highlight w:val="none"/>
            </w:rPr>
            <w:t>第二章 询价须知</w:t>
          </w:r>
          <w:r>
            <w:rPr>
              <w:color w:val="auto"/>
              <w:highlight w:val="none"/>
            </w:rPr>
            <w:tab/>
          </w:r>
          <w:r>
            <w:rPr>
              <w:color w:val="auto"/>
              <w:highlight w:val="none"/>
            </w:rPr>
            <w:fldChar w:fldCharType="begin"/>
          </w:r>
          <w:r>
            <w:rPr>
              <w:color w:val="auto"/>
              <w:highlight w:val="none"/>
            </w:rPr>
            <w:instrText xml:space="preserve"> PAGEREF _Toc14532 \h </w:instrText>
          </w:r>
          <w:r>
            <w:rPr>
              <w:color w:val="auto"/>
              <w:highlight w:val="none"/>
            </w:rPr>
            <w:fldChar w:fldCharType="separate"/>
          </w:r>
          <w:r>
            <w:rPr>
              <w:color w:val="auto"/>
              <w:highlight w:val="none"/>
            </w:rPr>
            <w:t>2</w:t>
          </w:r>
          <w:r>
            <w:rPr>
              <w:color w:val="auto"/>
              <w:highlight w:val="none"/>
            </w:rPr>
            <w:fldChar w:fldCharType="end"/>
          </w:r>
          <w:r>
            <w:rPr>
              <w:rFonts w:ascii="宋体" w:hAnsi="宋体" w:cs="宋体"/>
              <w:color w:val="auto"/>
              <w:szCs w:val="28"/>
              <w:highlight w:val="none"/>
            </w:rPr>
            <w:fldChar w:fldCharType="end"/>
          </w:r>
        </w:p>
        <w:p>
          <w:pPr>
            <w:pStyle w:val="15"/>
            <w:tabs>
              <w:tab w:val="right" w:leader="dot" w:pos="8414"/>
            </w:tabs>
            <w:rPr>
              <w:color w:val="auto"/>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_Toc12185 </w:instrText>
          </w:r>
          <w:r>
            <w:rPr>
              <w:rFonts w:ascii="宋体" w:hAnsi="宋体" w:cs="宋体"/>
              <w:color w:val="auto"/>
              <w:szCs w:val="28"/>
              <w:highlight w:val="none"/>
            </w:rPr>
            <w:fldChar w:fldCharType="separate"/>
          </w:r>
          <w:r>
            <w:rPr>
              <w:rFonts w:hint="eastAsia"/>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_Toc12185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宋体"/>
              <w:color w:val="auto"/>
              <w:szCs w:val="28"/>
              <w:highlight w:val="none"/>
            </w:rPr>
            <w:fldChar w:fldCharType="end"/>
          </w:r>
        </w:p>
        <w:p>
          <w:pPr>
            <w:pStyle w:val="15"/>
            <w:tabs>
              <w:tab w:val="right" w:leader="dot" w:pos="8414"/>
            </w:tabs>
            <w:rPr>
              <w:color w:val="auto"/>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_Toc6509 </w:instrText>
          </w:r>
          <w:r>
            <w:rPr>
              <w:rFonts w:ascii="宋体" w:hAnsi="宋体" w:cs="宋体"/>
              <w:color w:val="auto"/>
              <w:szCs w:val="28"/>
              <w:highlight w:val="none"/>
            </w:rPr>
            <w:fldChar w:fldCharType="separate"/>
          </w:r>
          <w:r>
            <w:rPr>
              <w:rFonts w:hint="eastAsia"/>
              <w:color w:val="auto"/>
              <w:szCs w:val="36"/>
              <w:highlight w:val="none"/>
            </w:rPr>
            <w:t>第四章  评审办法</w:t>
          </w:r>
          <w:r>
            <w:rPr>
              <w:color w:val="auto"/>
              <w:highlight w:val="none"/>
            </w:rPr>
            <w:tab/>
          </w:r>
          <w:r>
            <w:rPr>
              <w:color w:val="auto"/>
              <w:highlight w:val="none"/>
            </w:rPr>
            <w:fldChar w:fldCharType="begin"/>
          </w:r>
          <w:r>
            <w:rPr>
              <w:color w:val="auto"/>
              <w:highlight w:val="none"/>
            </w:rPr>
            <w:instrText xml:space="preserve"> PAGEREF _Toc6509 \h </w:instrText>
          </w:r>
          <w:r>
            <w:rPr>
              <w:color w:val="auto"/>
              <w:highlight w:val="none"/>
            </w:rPr>
            <w:fldChar w:fldCharType="separate"/>
          </w:r>
          <w:r>
            <w:rPr>
              <w:color w:val="auto"/>
              <w:highlight w:val="none"/>
            </w:rPr>
            <w:t>12</w:t>
          </w:r>
          <w:r>
            <w:rPr>
              <w:color w:val="auto"/>
              <w:highlight w:val="none"/>
            </w:rPr>
            <w:fldChar w:fldCharType="end"/>
          </w:r>
          <w:r>
            <w:rPr>
              <w:rFonts w:ascii="宋体" w:hAnsi="宋体" w:cs="宋体"/>
              <w:color w:val="auto"/>
              <w:szCs w:val="28"/>
              <w:highlight w:val="none"/>
            </w:rPr>
            <w:fldChar w:fldCharType="end"/>
          </w:r>
        </w:p>
        <w:p>
          <w:pPr>
            <w:pStyle w:val="15"/>
            <w:tabs>
              <w:tab w:val="right" w:leader="dot" w:pos="8414"/>
            </w:tabs>
            <w:rPr>
              <w:color w:val="auto"/>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_Toc25081 </w:instrText>
          </w:r>
          <w:r>
            <w:rPr>
              <w:rFonts w:ascii="宋体" w:hAnsi="宋体" w:cs="宋体"/>
              <w:color w:val="auto"/>
              <w:szCs w:val="28"/>
              <w:highlight w:val="none"/>
            </w:rPr>
            <w:fldChar w:fldCharType="separate"/>
          </w:r>
          <w:r>
            <w:rPr>
              <w:rFonts w:hint="eastAsia"/>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_Toc25081 \h </w:instrText>
          </w:r>
          <w:r>
            <w:rPr>
              <w:color w:val="auto"/>
              <w:highlight w:val="none"/>
            </w:rPr>
            <w:fldChar w:fldCharType="separate"/>
          </w:r>
          <w:r>
            <w:rPr>
              <w:color w:val="auto"/>
              <w:highlight w:val="none"/>
            </w:rPr>
            <w:t>15</w:t>
          </w:r>
          <w:r>
            <w:rPr>
              <w:color w:val="auto"/>
              <w:highlight w:val="none"/>
            </w:rPr>
            <w:fldChar w:fldCharType="end"/>
          </w:r>
          <w:r>
            <w:rPr>
              <w:rFonts w:ascii="宋体" w:hAnsi="宋体" w:cs="宋体"/>
              <w:color w:val="auto"/>
              <w:szCs w:val="28"/>
              <w:highlight w:val="none"/>
            </w:rPr>
            <w:fldChar w:fldCharType="end"/>
          </w:r>
        </w:p>
        <w:p>
          <w:pPr>
            <w:pStyle w:val="15"/>
            <w:tabs>
              <w:tab w:val="right" w:leader="dot" w:pos="8414"/>
            </w:tabs>
            <w:rPr>
              <w:color w:val="auto"/>
              <w:highlight w:val="none"/>
            </w:rPr>
          </w:pPr>
          <w:r>
            <w:rPr>
              <w:rFonts w:ascii="宋体" w:hAnsi="宋体" w:cs="宋体"/>
              <w:color w:val="auto"/>
              <w:szCs w:val="28"/>
              <w:highlight w:val="none"/>
            </w:rPr>
            <w:fldChar w:fldCharType="begin"/>
          </w:r>
          <w:r>
            <w:rPr>
              <w:rFonts w:ascii="宋体" w:hAnsi="宋体" w:cs="宋体"/>
              <w:color w:val="auto"/>
              <w:szCs w:val="28"/>
              <w:highlight w:val="none"/>
            </w:rPr>
            <w:instrText xml:space="preserve"> HYPERLINK \l _Toc1196 </w:instrText>
          </w:r>
          <w:r>
            <w:rPr>
              <w:rFonts w:ascii="宋体" w:hAnsi="宋体" w:cs="宋体"/>
              <w:color w:val="auto"/>
              <w:szCs w:val="28"/>
              <w:highlight w:val="none"/>
            </w:rPr>
            <w:fldChar w:fldCharType="separate"/>
          </w:r>
          <w:r>
            <w:rPr>
              <w:rFonts w:hint="eastAsia"/>
              <w:color w:val="auto"/>
              <w:highlight w:val="none"/>
            </w:rPr>
            <w:t>第六章 合同主要条款（草案）</w:t>
          </w:r>
          <w:r>
            <w:rPr>
              <w:color w:val="auto"/>
              <w:highlight w:val="none"/>
            </w:rPr>
            <w:tab/>
          </w:r>
          <w:r>
            <w:rPr>
              <w:color w:val="auto"/>
              <w:highlight w:val="none"/>
            </w:rPr>
            <w:fldChar w:fldCharType="begin"/>
          </w:r>
          <w:r>
            <w:rPr>
              <w:color w:val="auto"/>
              <w:highlight w:val="none"/>
            </w:rPr>
            <w:instrText xml:space="preserve"> PAGEREF _Toc1196 \h </w:instrText>
          </w:r>
          <w:r>
            <w:rPr>
              <w:color w:val="auto"/>
              <w:highlight w:val="none"/>
            </w:rPr>
            <w:fldChar w:fldCharType="separate"/>
          </w:r>
          <w:r>
            <w:rPr>
              <w:color w:val="auto"/>
              <w:highlight w:val="none"/>
            </w:rPr>
            <w:t>28</w:t>
          </w:r>
          <w:r>
            <w:rPr>
              <w:color w:val="auto"/>
              <w:highlight w:val="none"/>
            </w:rPr>
            <w:fldChar w:fldCharType="end"/>
          </w:r>
          <w:r>
            <w:rPr>
              <w:rFonts w:ascii="宋体" w:hAnsi="宋体" w:cs="宋体"/>
              <w:color w:val="auto"/>
              <w:szCs w:val="28"/>
              <w:highlight w:val="none"/>
            </w:rPr>
            <w:fldChar w:fldCharType="end"/>
          </w:r>
        </w:p>
        <w:p>
          <w:pPr>
            <w:jc w:val="left"/>
            <w:rPr>
              <w:rFonts w:ascii="宋体" w:hAnsi="宋体" w:cs="宋体"/>
              <w:color w:val="auto"/>
              <w:sz w:val="28"/>
              <w:szCs w:val="28"/>
              <w:highlight w:val="none"/>
            </w:rPr>
          </w:pPr>
          <w:r>
            <w:rPr>
              <w:rFonts w:ascii="宋体" w:hAnsi="宋体" w:cs="宋体"/>
              <w:color w:val="auto"/>
              <w:szCs w:val="28"/>
              <w:highlight w:val="none"/>
            </w:rPr>
            <w:fldChar w:fldCharType="end"/>
          </w:r>
        </w:p>
      </w:sdtContent>
    </w:sdt>
    <w:p>
      <w:pPr>
        <w:jc w:val="left"/>
        <w:rPr>
          <w:rFonts w:ascii="宋体" w:hAnsi="宋体" w:cs="宋体"/>
          <w:color w:val="auto"/>
          <w:sz w:val="28"/>
          <w:szCs w:val="28"/>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jc w:val="center"/>
        <w:rPr>
          <w:rFonts w:ascii="宋体" w:hAnsi="宋体"/>
          <w:color w:val="auto"/>
          <w:sz w:val="36"/>
          <w:szCs w:val="36"/>
          <w:highlight w:val="none"/>
        </w:rPr>
        <w:sectPr>
          <w:pgSz w:w="11906" w:h="16838"/>
          <w:pgMar w:top="1440" w:right="1746" w:bottom="1440" w:left="1746" w:header="851" w:footer="992" w:gutter="0"/>
          <w:pgNumType w:start="1"/>
          <w:cols w:space="720" w:num="1"/>
          <w:docGrid w:type="lines" w:linePitch="312" w:charSpace="0"/>
        </w:sectPr>
      </w:pPr>
    </w:p>
    <w:p>
      <w:pPr>
        <w:pStyle w:val="17"/>
        <w:rPr>
          <w:rFonts w:hint="eastAsia" w:eastAsia="宋体"/>
          <w:color w:val="auto"/>
          <w:highlight w:val="none"/>
          <w:lang w:eastAsia="zh-CN"/>
        </w:rPr>
      </w:pPr>
      <w:bookmarkStart w:id="0" w:name="_Toc527444251"/>
      <w:bookmarkStart w:id="1" w:name="_Toc18661"/>
      <w:bookmarkStart w:id="2" w:name="_Toc27505"/>
      <w:r>
        <w:rPr>
          <w:rFonts w:hint="eastAsia"/>
          <w:color w:val="auto"/>
          <w:highlight w:val="none"/>
        </w:rPr>
        <w:t xml:space="preserve">第一章 </w:t>
      </w:r>
      <w:bookmarkEnd w:id="0"/>
      <w:bookmarkEnd w:id="1"/>
      <w:bookmarkEnd w:id="2"/>
      <w:r>
        <w:rPr>
          <w:rFonts w:hint="eastAsia"/>
          <w:color w:val="auto"/>
          <w:highlight w:val="none"/>
          <w:lang w:eastAsia="zh-CN"/>
        </w:rPr>
        <w:t>询价邀请</w:t>
      </w:r>
    </w:p>
    <w:p>
      <w:pPr>
        <w:pStyle w:val="17"/>
        <w:adjustRightInd w:val="0"/>
        <w:snapToGrid w:val="0"/>
        <w:spacing w:before="0" w:after="0" w:line="400" w:lineRule="exact"/>
        <w:ind w:firstLine="480" w:firstLineChars="200"/>
        <w:jc w:val="left"/>
        <w:rPr>
          <w:b w:val="0"/>
          <w:bCs w:val="0"/>
          <w:color w:val="auto"/>
          <w:sz w:val="24"/>
          <w:szCs w:val="24"/>
          <w:highlight w:val="none"/>
          <w:u w:val="single"/>
        </w:rPr>
      </w:pPr>
      <w:bookmarkStart w:id="3" w:name="_Toc24831"/>
      <w:bookmarkStart w:id="4" w:name="_Toc14228"/>
      <w:bookmarkStart w:id="5" w:name="_Toc17670"/>
      <w:bookmarkStart w:id="6" w:name="_Toc13349"/>
      <w:r>
        <w:rPr>
          <w:rFonts w:hint="eastAsia" w:ascii="宋体" w:hAnsi="宋体"/>
          <w:b w:val="0"/>
          <w:color w:val="auto"/>
          <w:sz w:val="24"/>
          <w:highlight w:val="none"/>
          <w:u w:val="single"/>
          <w:lang w:eastAsia="zh-CN"/>
        </w:rPr>
        <w:t>泸县</w:t>
      </w:r>
      <w:r>
        <w:rPr>
          <w:rFonts w:hint="eastAsia" w:ascii="宋体" w:hAnsi="宋体"/>
          <w:b w:val="0"/>
          <w:color w:val="auto"/>
          <w:sz w:val="24"/>
          <w:highlight w:val="none"/>
          <w:u w:val="single"/>
        </w:rPr>
        <w:t>农业农村局</w:t>
      </w:r>
      <w:r>
        <w:rPr>
          <w:rFonts w:hint="eastAsia" w:ascii="宋体" w:hAnsi="宋体"/>
          <w:b w:val="0"/>
          <w:bCs w:val="0"/>
          <w:color w:val="auto"/>
          <w:sz w:val="24"/>
          <w:highlight w:val="none"/>
        </w:rPr>
        <w:t>拟对</w:t>
      </w:r>
      <w:r>
        <w:rPr>
          <w:rFonts w:hint="eastAsia" w:ascii="宋体" w:hAnsi="宋体"/>
          <w:b w:val="0"/>
          <w:bCs w:val="0"/>
          <w:color w:val="auto"/>
          <w:sz w:val="24"/>
          <w:highlight w:val="none"/>
          <w:u w:val="single"/>
          <w:lang w:eastAsia="zh-CN"/>
        </w:rPr>
        <w:t>泸县2024年柑橘黄龙病监测调查及柑橘木虱普查服务项目</w:t>
      </w:r>
      <w:r>
        <w:rPr>
          <w:rFonts w:hint="eastAsia" w:ascii="宋体" w:hAnsi="宋体"/>
          <w:b w:val="0"/>
          <w:bCs w:val="0"/>
          <w:color w:val="auto"/>
          <w:sz w:val="24"/>
          <w:highlight w:val="none"/>
        </w:rPr>
        <w:t>进行国内询价招标，</w:t>
      </w:r>
      <w:r>
        <w:rPr>
          <w:rFonts w:hint="eastAsia" w:ascii="宋体" w:hAnsi="宋体"/>
          <w:b w:val="0"/>
          <w:bCs w:val="0"/>
          <w:color w:val="auto"/>
          <w:sz w:val="24"/>
          <w:szCs w:val="28"/>
          <w:highlight w:val="none"/>
        </w:rPr>
        <w:t>兹邀请符合本次采购要求的</w:t>
      </w:r>
      <w:r>
        <w:rPr>
          <w:rFonts w:hint="eastAsia" w:ascii="宋体" w:hAnsi="宋体"/>
          <w:b w:val="0"/>
          <w:bCs w:val="0"/>
          <w:color w:val="auto"/>
          <w:sz w:val="24"/>
          <w:szCs w:val="28"/>
          <w:highlight w:val="none"/>
          <w:lang w:val="en-US" w:eastAsia="zh-CN"/>
        </w:rPr>
        <w:t>供应商</w:t>
      </w:r>
      <w:r>
        <w:rPr>
          <w:rFonts w:hint="eastAsia" w:ascii="宋体" w:hAnsi="宋体"/>
          <w:b w:val="0"/>
          <w:bCs w:val="0"/>
          <w:color w:val="auto"/>
          <w:sz w:val="24"/>
          <w:szCs w:val="28"/>
          <w:highlight w:val="none"/>
        </w:rPr>
        <w:t>参与投标,现将有关事宜告知如下：</w:t>
      </w:r>
      <w:bookmarkEnd w:id="3"/>
      <w:bookmarkEnd w:id="4"/>
      <w:bookmarkEnd w:id="5"/>
      <w:bookmarkEnd w:id="6"/>
    </w:p>
    <w:p>
      <w:pPr>
        <w:adjustRightInd w:val="0"/>
        <w:snapToGrid w:val="0"/>
        <w:spacing w:line="400" w:lineRule="exact"/>
        <w:ind w:firstLine="482" w:firstLineChars="200"/>
        <w:jc w:val="left"/>
        <w:rPr>
          <w:rFonts w:ascii="宋体" w:hAnsi="宋体"/>
          <w:b/>
          <w:color w:val="auto"/>
          <w:sz w:val="24"/>
          <w:szCs w:val="24"/>
          <w:highlight w:val="none"/>
        </w:rPr>
      </w:pPr>
      <w:bookmarkStart w:id="7" w:name="_Toc456861567"/>
      <w:bookmarkStart w:id="8" w:name="_Toc527444253"/>
      <w:bookmarkStart w:id="9" w:name="_Toc9970"/>
      <w:r>
        <w:rPr>
          <w:rFonts w:hint="eastAsia" w:ascii="宋体" w:hAnsi="宋体"/>
          <w:b/>
          <w:color w:val="auto"/>
          <w:sz w:val="24"/>
          <w:szCs w:val="24"/>
          <w:highlight w:val="none"/>
        </w:rPr>
        <w:t>1、项目概况</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1.1采购人：</w:t>
      </w:r>
      <w:r>
        <w:rPr>
          <w:rFonts w:hint="eastAsia"/>
          <w:color w:val="auto"/>
          <w:sz w:val="24"/>
          <w:szCs w:val="24"/>
          <w:highlight w:val="none"/>
          <w:lang w:eastAsia="zh-CN"/>
        </w:rPr>
        <w:t>泸县</w:t>
      </w:r>
      <w:r>
        <w:rPr>
          <w:rFonts w:hint="eastAsia"/>
          <w:color w:val="auto"/>
          <w:sz w:val="24"/>
          <w:szCs w:val="24"/>
          <w:highlight w:val="none"/>
        </w:rPr>
        <w:t>农业农村局</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1.2项目名称：</w:t>
      </w:r>
      <w:r>
        <w:rPr>
          <w:rFonts w:hint="eastAsia"/>
          <w:color w:val="auto"/>
          <w:sz w:val="24"/>
          <w:szCs w:val="24"/>
          <w:highlight w:val="none"/>
          <w:lang w:eastAsia="zh-CN"/>
        </w:rPr>
        <w:t>泸县2024年柑橘黄龙病监测调查及柑橘木虱普查服务项目</w:t>
      </w:r>
    </w:p>
    <w:p>
      <w:pPr>
        <w:adjustRightInd w:val="0"/>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1.</w:t>
      </w:r>
      <w:r>
        <w:rPr>
          <w:color w:val="auto"/>
          <w:sz w:val="24"/>
          <w:szCs w:val="24"/>
          <w:highlight w:val="none"/>
        </w:rPr>
        <w:t>3</w:t>
      </w:r>
      <w:r>
        <w:rPr>
          <w:rFonts w:hint="eastAsia"/>
          <w:color w:val="auto"/>
          <w:sz w:val="24"/>
          <w:szCs w:val="24"/>
          <w:highlight w:val="none"/>
        </w:rPr>
        <w:t>采购预算：本项目采购预算：</w:t>
      </w:r>
      <w:r>
        <w:rPr>
          <w:rFonts w:hint="eastAsia"/>
          <w:color w:val="auto"/>
          <w:sz w:val="24"/>
          <w:szCs w:val="24"/>
          <w:highlight w:val="none"/>
          <w:lang w:eastAsia="zh-CN"/>
        </w:rPr>
        <w:t>14.00万元</w:t>
      </w:r>
      <w:r>
        <w:rPr>
          <w:rFonts w:hint="eastAsia"/>
          <w:color w:val="auto"/>
          <w:sz w:val="24"/>
          <w:szCs w:val="24"/>
          <w:highlight w:val="none"/>
        </w:rPr>
        <w:t>，超过采购预算的报价无效。</w:t>
      </w:r>
    </w:p>
    <w:p>
      <w:pPr>
        <w:adjustRightInd w:val="0"/>
        <w:snapToGrid w:val="0"/>
        <w:spacing w:line="4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1.</w:t>
      </w:r>
      <w:r>
        <w:rPr>
          <w:color w:val="auto"/>
          <w:sz w:val="24"/>
          <w:szCs w:val="24"/>
          <w:highlight w:val="none"/>
        </w:rPr>
        <w:t>4</w:t>
      </w:r>
      <w:r>
        <w:rPr>
          <w:rFonts w:hint="eastAsia"/>
          <w:color w:val="auto"/>
          <w:sz w:val="24"/>
          <w:szCs w:val="24"/>
          <w:highlight w:val="none"/>
        </w:rPr>
        <w:t>采购内容：（详见第三章  项目技术、服务及商务要求）</w:t>
      </w:r>
      <w:r>
        <w:rPr>
          <w:rFonts w:hint="eastAsia"/>
          <w:color w:val="auto"/>
          <w:sz w:val="24"/>
          <w:szCs w:val="24"/>
          <w:highlight w:val="none"/>
          <w:lang w:eastAsia="zh-CN"/>
        </w:rPr>
        <w:t>。</w:t>
      </w:r>
    </w:p>
    <w:p>
      <w:pPr>
        <w:adjustRightInd w:val="0"/>
        <w:snapToGrid w:val="0"/>
        <w:spacing w:line="400" w:lineRule="exact"/>
        <w:ind w:firstLine="482" w:firstLineChars="200"/>
        <w:rPr>
          <w:b/>
          <w:bCs/>
          <w:color w:val="auto"/>
          <w:sz w:val="24"/>
          <w:szCs w:val="24"/>
          <w:highlight w:val="none"/>
        </w:rPr>
      </w:pPr>
      <w:r>
        <w:rPr>
          <w:rFonts w:hint="eastAsia"/>
          <w:b/>
          <w:bCs/>
          <w:color w:val="auto"/>
          <w:sz w:val="24"/>
          <w:szCs w:val="24"/>
          <w:highlight w:val="none"/>
        </w:rPr>
        <w:t>2、</w:t>
      </w:r>
      <w:r>
        <w:rPr>
          <w:rFonts w:hint="eastAsia"/>
          <w:b/>
          <w:bCs/>
          <w:color w:val="auto"/>
          <w:sz w:val="24"/>
          <w:szCs w:val="24"/>
          <w:highlight w:val="none"/>
          <w:lang w:val="en-US" w:eastAsia="zh-CN"/>
        </w:rPr>
        <w:t>供应商</w:t>
      </w:r>
      <w:r>
        <w:rPr>
          <w:rFonts w:hint="eastAsia"/>
          <w:b/>
          <w:bCs/>
          <w:color w:val="auto"/>
          <w:sz w:val="24"/>
          <w:szCs w:val="24"/>
          <w:highlight w:val="none"/>
        </w:rPr>
        <w:t>资格要求：</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2.1具有独立承担民事责任的能力；</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2.2具有良好的商业信誉和健全的财务会计制度；</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2.3具有履行合同所必须的设备和专业技术能力；</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2.4具有依法缴纳税收和社会保障资金的良好记录；</w:t>
      </w:r>
    </w:p>
    <w:p>
      <w:pPr>
        <w:adjustRightInd w:val="0"/>
        <w:snapToGrid w:val="0"/>
        <w:spacing w:line="400" w:lineRule="exact"/>
        <w:ind w:firstLine="480" w:firstLineChars="200"/>
        <w:rPr>
          <w:color w:val="auto"/>
          <w:sz w:val="24"/>
          <w:szCs w:val="24"/>
          <w:highlight w:val="none"/>
        </w:rPr>
      </w:pPr>
      <w:r>
        <w:rPr>
          <w:rFonts w:hint="eastAsia"/>
          <w:color w:val="auto"/>
          <w:sz w:val="24"/>
          <w:szCs w:val="24"/>
          <w:highlight w:val="none"/>
        </w:rPr>
        <w:t>2.5参加本次采购活动前三年内，在经营活动中没有重大违法记录；</w:t>
      </w:r>
    </w:p>
    <w:p>
      <w:pPr>
        <w:pStyle w:val="24"/>
        <w:snapToGrid w:val="0"/>
        <w:spacing w:line="400" w:lineRule="exact"/>
        <w:ind w:firstLine="480" w:firstLineChars="200"/>
        <w:rPr>
          <w:rFonts w:hint="eastAsia" w:eastAsia="宋体"/>
          <w:color w:val="auto"/>
          <w:highlight w:val="none"/>
          <w:lang w:eastAsia="zh-CN"/>
        </w:rPr>
      </w:pPr>
      <w:r>
        <w:rPr>
          <w:rFonts w:hint="eastAsia" w:asciiTheme="minorHAnsi"/>
          <w:color w:val="auto"/>
          <w:highlight w:val="none"/>
        </w:rPr>
        <w:t xml:space="preserve">2.6 </w:t>
      </w:r>
      <w:r>
        <w:rPr>
          <w:rFonts w:hint="eastAsia"/>
          <w:color w:val="auto"/>
          <w:highlight w:val="none"/>
        </w:rPr>
        <w:t>根据采购项目提出的特殊条件</w:t>
      </w:r>
      <w:r>
        <w:rPr>
          <w:rFonts w:hint="eastAsia"/>
          <w:color w:val="auto"/>
          <w:highlight w:val="none"/>
          <w:lang w:eastAsia="zh-CN"/>
        </w:rPr>
        <w:t>。</w:t>
      </w:r>
    </w:p>
    <w:p>
      <w:pPr>
        <w:pStyle w:val="15"/>
        <w:adjustRightInd w:val="0"/>
        <w:snapToGrid w:val="0"/>
        <w:spacing w:before="0" w:after="0" w:line="400" w:lineRule="exact"/>
        <w:ind w:firstLine="482"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Cs w:val="0"/>
          <w:caps w:val="0"/>
          <w:color w:val="auto"/>
          <w:sz w:val="24"/>
          <w:szCs w:val="24"/>
          <w:highlight w:val="none"/>
          <w:lang w:val="en-US" w:eastAsia="zh-CN"/>
        </w:rPr>
        <w:t>3</w:t>
      </w:r>
      <w:r>
        <w:rPr>
          <w:rFonts w:hint="eastAsia" w:asciiTheme="minorEastAsia" w:hAnsiTheme="minorEastAsia" w:eastAsiaTheme="minorEastAsia" w:cstheme="minorEastAsia"/>
          <w:bCs w:val="0"/>
          <w:caps w:val="0"/>
          <w:color w:val="auto"/>
          <w:sz w:val="24"/>
          <w:szCs w:val="24"/>
          <w:highlight w:val="none"/>
        </w:rPr>
        <w:t>、投标文件递交截止时间</w:t>
      </w:r>
      <w:r>
        <w:rPr>
          <w:rFonts w:hint="eastAsia" w:asciiTheme="minorEastAsia" w:hAnsiTheme="minorEastAsia" w:eastAsiaTheme="minorEastAsia" w:cstheme="minorEastAsia"/>
          <w:b w:val="0"/>
          <w:bCs w:val="0"/>
          <w:caps w:val="0"/>
          <w:color w:val="auto"/>
          <w:sz w:val="24"/>
          <w:szCs w:val="24"/>
          <w:highlight w:val="none"/>
        </w:rPr>
        <w:t>：202</w:t>
      </w:r>
      <w:r>
        <w:rPr>
          <w:rFonts w:hint="eastAsia" w:asciiTheme="minorEastAsia" w:hAnsiTheme="minorEastAsia" w:eastAsiaTheme="minorEastAsia" w:cstheme="minorEastAsia"/>
          <w:b w:val="0"/>
          <w:bCs w:val="0"/>
          <w:caps w:val="0"/>
          <w:color w:val="auto"/>
          <w:sz w:val="24"/>
          <w:szCs w:val="24"/>
          <w:highlight w:val="none"/>
          <w:lang w:val="en-US" w:eastAsia="zh-CN"/>
        </w:rPr>
        <w:t>4</w:t>
      </w:r>
      <w:r>
        <w:rPr>
          <w:rFonts w:hint="eastAsia" w:asciiTheme="minorEastAsia" w:hAnsiTheme="minorEastAsia" w:eastAsiaTheme="minorEastAsia" w:cstheme="minorEastAsia"/>
          <w:b w:val="0"/>
          <w:bCs w:val="0"/>
          <w:caps w:val="0"/>
          <w:color w:val="auto"/>
          <w:sz w:val="24"/>
          <w:szCs w:val="24"/>
          <w:highlight w:val="none"/>
        </w:rPr>
        <w:t>年</w:t>
      </w:r>
      <w:r>
        <w:rPr>
          <w:rFonts w:hint="eastAsia" w:asciiTheme="minorEastAsia" w:hAnsiTheme="minorEastAsia" w:eastAsiaTheme="minorEastAsia" w:cstheme="minorEastAsia"/>
          <w:b w:val="0"/>
          <w:bCs w:val="0"/>
          <w:caps w:val="0"/>
          <w:color w:val="auto"/>
          <w:sz w:val="24"/>
          <w:szCs w:val="24"/>
          <w:highlight w:val="none"/>
          <w:lang w:val="en-US" w:eastAsia="zh-CN"/>
        </w:rPr>
        <w:t>11</w:t>
      </w:r>
      <w:r>
        <w:rPr>
          <w:rFonts w:hint="eastAsia" w:asciiTheme="minorEastAsia" w:hAnsiTheme="minorEastAsia" w:eastAsiaTheme="minorEastAsia" w:cstheme="minorEastAsia"/>
          <w:b w:val="0"/>
          <w:bCs w:val="0"/>
          <w:caps w:val="0"/>
          <w:color w:val="auto"/>
          <w:sz w:val="24"/>
          <w:szCs w:val="24"/>
          <w:highlight w:val="none"/>
        </w:rPr>
        <w:t>月</w:t>
      </w:r>
      <w:r>
        <w:rPr>
          <w:rFonts w:hint="eastAsia" w:asciiTheme="minorEastAsia" w:hAnsiTheme="minorEastAsia" w:eastAsiaTheme="minorEastAsia" w:cstheme="minorEastAsia"/>
          <w:b w:val="0"/>
          <w:bCs w:val="0"/>
          <w:caps w:val="0"/>
          <w:color w:val="auto"/>
          <w:sz w:val="24"/>
          <w:szCs w:val="24"/>
          <w:highlight w:val="none"/>
          <w:lang w:val="en-US" w:eastAsia="zh-CN"/>
        </w:rPr>
        <w:t>8</w:t>
      </w:r>
      <w:r>
        <w:rPr>
          <w:rFonts w:hint="eastAsia" w:asciiTheme="minorEastAsia" w:hAnsiTheme="minorEastAsia" w:eastAsiaTheme="minorEastAsia" w:cstheme="minorEastAsia"/>
          <w:b w:val="0"/>
          <w:bCs w:val="0"/>
          <w:caps w:val="0"/>
          <w:color w:val="auto"/>
          <w:sz w:val="24"/>
          <w:szCs w:val="24"/>
          <w:highlight w:val="none"/>
        </w:rPr>
        <w:t>日</w:t>
      </w:r>
      <w:r>
        <w:rPr>
          <w:rFonts w:hint="eastAsia" w:asciiTheme="minorEastAsia" w:hAnsiTheme="minorEastAsia" w:eastAsiaTheme="minorEastAsia" w:cstheme="minorEastAsia"/>
          <w:b w:val="0"/>
          <w:bCs w:val="0"/>
          <w:caps w:val="0"/>
          <w:color w:val="auto"/>
          <w:sz w:val="24"/>
          <w:szCs w:val="24"/>
          <w:highlight w:val="none"/>
          <w:lang w:val="en-US" w:eastAsia="zh-CN"/>
        </w:rPr>
        <w:t>09</w:t>
      </w:r>
      <w:r>
        <w:rPr>
          <w:rFonts w:hint="eastAsia" w:asciiTheme="minorEastAsia" w:hAnsiTheme="minorEastAsia" w:eastAsiaTheme="minorEastAsia" w:cstheme="minorEastAsia"/>
          <w:b w:val="0"/>
          <w:bCs w:val="0"/>
          <w:caps w:val="0"/>
          <w:color w:val="auto"/>
          <w:sz w:val="24"/>
          <w:szCs w:val="24"/>
          <w:highlight w:val="none"/>
        </w:rPr>
        <w:t>:</w:t>
      </w:r>
      <w:r>
        <w:rPr>
          <w:rFonts w:hint="eastAsia" w:asciiTheme="minorEastAsia" w:hAnsiTheme="minorEastAsia" w:eastAsiaTheme="minorEastAsia" w:cstheme="minorEastAsia"/>
          <w:b w:val="0"/>
          <w:bCs w:val="0"/>
          <w:caps w:val="0"/>
          <w:color w:val="auto"/>
          <w:sz w:val="24"/>
          <w:szCs w:val="24"/>
          <w:highlight w:val="none"/>
          <w:lang w:val="en-US" w:eastAsia="zh-CN"/>
        </w:rPr>
        <w:t>0</w:t>
      </w:r>
      <w:r>
        <w:rPr>
          <w:rFonts w:hint="eastAsia" w:asciiTheme="minorEastAsia" w:hAnsiTheme="minorEastAsia" w:eastAsiaTheme="minorEastAsia" w:cstheme="minorEastAsia"/>
          <w:b w:val="0"/>
          <w:bCs w:val="0"/>
          <w:caps w:val="0"/>
          <w:color w:val="auto"/>
          <w:sz w:val="24"/>
          <w:szCs w:val="24"/>
          <w:highlight w:val="none"/>
        </w:rPr>
        <w:t>0:</w:t>
      </w:r>
      <w:r>
        <w:rPr>
          <w:rFonts w:asciiTheme="minorEastAsia" w:hAnsiTheme="minorEastAsia" w:eastAsiaTheme="minorEastAsia" w:cstheme="minorEastAsia"/>
          <w:b w:val="0"/>
          <w:bCs w:val="0"/>
          <w:caps w:val="0"/>
          <w:color w:val="auto"/>
          <w:sz w:val="24"/>
          <w:szCs w:val="24"/>
          <w:highlight w:val="none"/>
        </w:rPr>
        <w:t>00</w:t>
      </w:r>
      <w:r>
        <w:rPr>
          <w:rFonts w:hint="eastAsia" w:asciiTheme="minorEastAsia" w:hAnsiTheme="minorEastAsia" w:eastAsiaTheme="minorEastAsia" w:cstheme="minorEastAsia"/>
          <w:b w:val="0"/>
          <w:bCs w:val="0"/>
          <w:caps w:val="0"/>
          <w:color w:val="auto"/>
          <w:sz w:val="24"/>
          <w:szCs w:val="24"/>
          <w:highlight w:val="none"/>
        </w:rPr>
        <w:t>（北京时间）。</w:t>
      </w:r>
    </w:p>
    <w:p>
      <w:pPr>
        <w:pStyle w:val="15"/>
        <w:adjustRightInd w:val="0"/>
        <w:snapToGrid w:val="0"/>
        <w:spacing w:before="0" w:after="0" w:line="400" w:lineRule="exact"/>
        <w:ind w:firstLine="482"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Cs w:val="0"/>
          <w:caps w:val="0"/>
          <w:color w:val="auto"/>
          <w:sz w:val="24"/>
          <w:szCs w:val="24"/>
          <w:highlight w:val="none"/>
        </w:rPr>
        <w:t>评标时间</w:t>
      </w:r>
      <w:r>
        <w:rPr>
          <w:rFonts w:hint="eastAsia" w:asciiTheme="minorEastAsia" w:hAnsiTheme="minorEastAsia" w:eastAsiaTheme="minorEastAsia" w:cstheme="minorEastAsia"/>
          <w:b w:val="0"/>
          <w:bCs w:val="0"/>
          <w:caps w:val="0"/>
          <w:color w:val="auto"/>
          <w:sz w:val="24"/>
          <w:szCs w:val="24"/>
          <w:highlight w:val="none"/>
        </w:rPr>
        <w:t>：</w:t>
      </w:r>
      <w:r>
        <w:rPr>
          <w:rFonts w:hint="eastAsia" w:asciiTheme="minorEastAsia" w:hAnsiTheme="minorEastAsia" w:eastAsiaTheme="minorEastAsia" w:cstheme="minorEastAsia"/>
          <w:b w:val="0"/>
          <w:bCs w:val="0"/>
          <w:caps w:val="0"/>
          <w:color w:val="auto"/>
          <w:sz w:val="24"/>
          <w:szCs w:val="24"/>
          <w:highlight w:val="none"/>
          <w:lang w:eastAsia="zh-CN"/>
        </w:rPr>
        <w:t>2024年</w:t>
      </w:r>
      <w:r>
        <w:rPr>
          <w:rFonts w:hint="eastAsia" w:asciiTheme="minorEastAsia" w:hAnsiTheme="minorEastAsia" w:eastAsiaTheme="minorEastAsia" w:cstheme="minorEastAsia"/>
          <w:b w:val="0"/>
          <w:bCs w:val="0"/>
          <w:caps w:val="0"/>
          <w:color w:val="auto"/>
          <w:sz w:val="24"/>
          <w:szCs w:val="24"/>
          <w:highlight w:val="none"/>
          <w:lang w:val="en-US" w:eastAsia="zh-CN"/>
        </w:rPr>
        <w:t>11</w:t>
      </w:r>
      <w:r>
        <w:rPr>
          <w:rFonts w:hint="eastAsia" w:asciiTheme="minorEastAsia" w:hAnsiTheme="minorEastAsia" w:eastAsiaTheme="minorEastAsia" w:cstheme="minorEastAsia"/>
          <w:b w:val="0"/>
          <w:bCs w:val="0"/>
          <w:caps w:val="0"/>
          <w:color w:val="auto"/>
          <w:sz w:val="24"/>
          <w:szCs w:val="24"/>
          <w:highlight w:val="none"/>
        </w:rPr>
        <w:t>月</w:t>
      </w:r>
      <w:r>
        <w:rPr>
          <w:rFonts w:hint="eastAsia" w:asciiTheme="minorEastAsia" w:hAnsiTheme="minorEastAsia" w:eastAsiaTheme="minorEastAsia" w:cstheme="minorEastAsia"/>
          <w:b w:val="0"/>
          <w:bCs w:val="0"/>
          <w:caps w:val="0"/>
          <w:color w:val="auto"/>
          <w:sz w:val="24"/>
          <w:szCs w:val="24"/>
          <w:highlight w:val="none"/>
          <w:lang w:val="en-US" w:eastAsia="zh-CN"/>
        </w:rPr>
        <w:t>8</w:t>
      </w:r>
      <w:r>
        <w:rPr>
          <w:rFonts w:hint="eastAsia" w:asciiTheme="minorEastAsia" w:hAnsiTheme="minorEastAsia" w:eastAsiaTheme="minorEastAsia" w:cstheme="minorEastAsia"/>
          <w:b w:val="0"/>
          <w:bCs w:val="0"/>
          <w:caps w:val="0"/>
          <w:color w:val="auto"/>
          <w:sz w:val="24"/>
          <w:szCs w:val="24"/>
          <w:highlight w:val="none"/>
        </w:rPr>
        <w:t>日</w:t>
      </w:r>
      <w:r>
        <w:rPr>
          <w:rFonts w:hint="eastAsia" w:asciiTheme="minorEastAsia" w:hAnsiTheme="minorEastAsia" w:eastAsiaTheme="minorEastAsia" w:cstheme="minorEastAsia"/>
          <w:b w:val="0"/>
          <w:bCs w:val="0"/>
          <w:caps w:val="0"/>
          <w:color w:val="auto"/>
          <w:sz w:val="24"/>
          <w:szCs w:val="24"/>
          <w:highlight w:val="none"/>
          <w:lang w:val="en-US" w:eastAsia="zh-CN"/>
        </w:rPr>
        <w:t>09</w:t>
      </w:r>
      <w:r>
        <w:rPr>
          <w:rFonts w:hint="eastAsia" w:asciiTheme="minorEastAsia" w:hAnsiTheme="minorEastAsia" w:eastAsiaTheme="minorEastAsia" w:cstheme="minorEastAsia"/>
          <w:b w:val="0"/>
          <w:bCs w:val="0"/>
          <w:caps w:val="0"/>
          <w:color w:val="auto"/>
          <w:sz w:val="24"/>
          <w:szCs w:val="24"/>
          <w:highlight w:val="none"/>
        </w:rPr>
        <w:t>:</w:t>
      </w:r>
      <w:r>
        <w:rPr>
          <w:rFonts w:hint="eastAsia" w:asciiTheme="minorEastAsia" w:hAnsiTheme="minorEastAsia" w:eastAsiaTheme="minorEastAsia" w:cstheme="minorEastAsia"/>
          <w:b w:val="0"/>
          <w:bCs w:val="0"/>
          <w:caps w:val="0"/>
          <w:color w:val="auto"/>
          <w:sz w:val="24"/>
          <w:szCs w:val="24"/>
          <w:highlight w:val="none"/>
          <w:lang w:val="en-US" w:eastAsia="zh-CN"/>
        </w:rPr>
        <w:t>0</w:t>
      </w:r>
      <w:r>
        <w:rPr>
          <w:rFonts w:hint="eastAsia" w:asciiTheme="minorEastAsia" w:hAnsiTheme="minorEastAsia" w:eastAsiaTheme="minorEastAsia" w:cstheme="minorEastAsia"/>
          <w:b w:val="0"/>
          <w:bCs w:val="0"/>
          <w:caps w:val="0"/>
          <w:color w:val="auto"/>
          <w:sz w:val="24"/>
          <w:szCs w:val="24"/>
          <w:highlight w:val="none"/>
        </w:rPr>
        <w:t>0:</w:t>
      </w:r>
      <w:r>
        <w:rPr>
          <w:rFonts w:asciiTheme="minorEastAsia" w:hAnsiTheme="minorEastAsia" w:eastAsiaTheme="minorEastAsia" w:cstheme="minorEastAsia"/>
          <w:b w:val="0"/>
          <w:bCs w:val="0"/>
          <w:caps w:val="0"/>
          <w:color w:val="auto"/>
          <w:sz w:val="24"/>
          <w:szCs w:val="24"/>
          <w:highlight w:val="none"/>
        </w:rPr>
        <w:t>00</w:t>
      </w:r>
      <w:r>
        <w:rPr>
          <w:rFonts w:hint="eastAsia" w:asciiTheme="minorEastAsia" w:hAnsiTheme="minorEastAsia" w:eastAsiaTheme="minorEastAsia" w:cstheme="minorEastAsia"/>
          <w:b w:val="0"/>
          <w:bCs w:val="0"/>
          <w:caps w:val="0"/>
          <w:color w:val="auto"/>
          <w:sz w:val="24"/>
          <w:szCs w:val="24"/>
          <w:highlight w:val="none"/>
        </w:rPr>
        <w:t>（北京时间）</w:t>
      </w:r>
    </w:p>
    <w:p>
      <w:pPr>
        <w:pStyle w:val="15"/>
        <w:adjustRightInd w:val="0"/>
        <w:snapToGrid w:val="0"/>
        <w:spacing w:before="0" w:after="0" w:line="400" w:lineRule="exact"/>
        <w:ind w:firstLine="482" w:firstLineChars="200"/>
        <w:rPr>
          <w:rFonts w:asciiTheme="minorEastAsia" w:hAnsiTheme="minorEastAsia" w:eastAsiaTheme="minorEastAsia" w:cstheme="minorEastAsia"/>
          <w:b w:val="0"/>
          <w:bCs w:val="0"/>
          <w:caps w:val="0"/>
          <w:color w:val="auto"/>
          <w:sz w:val="24"/>
          <w:szCs w:val="24"/>
          <w:highlight w:val="none"/>
        </w:rPr>
      </w:pPr>
      <w:r>
        <w:rPr>
          <w:rFonts w:hint="eastAsia" w:asciiTheme="minorEastAsia" w:hAnsiTheme="minorEastAsia" w:eastAsiaTheme="minorEastAsia" w:cstheme="minorEastAsia"/>
          <w:bCs w:val="0"/>
          <w:caps w:val="0"/>
          <w:color w:val="auto"/>
          <w:sz w:val="24"/>
          <w:szCs w:val="24"/>
          <w:highlight w:val="none"/>
        </w:rPr>
        <w:t>评标地点</w:t>
      </w:r>
      <w:r>
        <w:rPr>
          <w:rFonts w:hint="eastAsia" w:asciiTheme="minorEastAsia" w:hAnsiTheme="minorEastAsia" w:eastAsiaTheme="minorEastAsia" w:cstheme="minorEastAsia"/>
          <w:b w:val="0"/>
          <w:bCs w:val="0"/>
          <w:caps w:val="0"/>
          <w:color w:val="auto"/>
          <w:sz w:val="24"/>
          <w:szCs w:val="24"/>
          <w:highlight w:val="none"/>
        </w:rPr>
        <w:t>：</w:t>
      </w:r>
      <w:r>
        <w:rPr>
          <w:rFonts w:hint="eastAsia" w:eastAsiaTheme="minorEastAsia"/>
          <w:color w:val="auto"/>
          <w:sz w:val="24"/>
          <w:szCs w:val="24"/>
          <w:highlight w:val="none"/>
          <w:lang w:eastAsia="zh-CN"/>
        </w:rPr>
        <w:t>泸县</w:t>
      </w:r>
      <w:r>
        <w:rPr>
          <w:rFonts w:hint="eastAsia"/>
          <w:color w:val="auto"/>
          <w:sz w:val="24"/>
          <w:szCs w:val="24"/>
          <w:highlight w:val="none"/>
        </w:rPr>
        <w:t>农业农村局</w:t>
      </w:r>
      <w:r>
        <w:rPr>
          <w:rFonts w:hint="eastAsia"/>
          <w:color w:val="auto"/>
          <w:sz w:val="24"/>
          <w:szCs w:val="24"/>
          <w:highlight w:val="none"/>
          <w:lang w:val="en-US" w:eastAsia="zh-CN"/>
        </w:rPr>
        <w:t>101</w:t>
      </w:r>
      <w:r>
        <w:rPr>
          <w:rFonts w:hint="eastAsia"/>
          <w:color w:val="auto"/>
          <w:sz w:val="24"/>
          <w:szCs w:val="24"/>
          <w:highlight w:val="none"/>
        </w:rPr>
        <w:t>会议室</w:t>
      </w:r>
    </w:p>
    <w:p>
      <w:pPr>
        <w:adjustRightInd w:val="0"/>
        <w:snapToGrid w:val="0"/>
        <w:spacing w:line="40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、联系方式</w:t>
      </w:r>
    </w:p>
    <w:p>
      <w:pPr>
        <w:pStyle w:val="15"/>
        <w:tabs>
          <w:tab w:val="right" w:leader="dot" w:pos="9345"/>
        </w:tabs>
        <w:adjustRightInd w:val="0"/>
        <w:snapToGrid w:val="0"/>
        <w:spacing w:before="0" w:after="0" w:line="400" w:lineRule="exact"/>
        <w:ind w:firstLine="482" w:firstLineChars="200"/>
        <w:rPr>
          <w:rFonts w:hAnsi="宋体" w:cs="宋体"/>
          <w:color w:val="auto"/>
          <w:sz w:val="24"/>
          <w:szCs w:val="24"/>
          <w:highlight w:val="none"/>
        </w:rPr>
      </w:pPr>
      <w:r>
        <w:rPr>
          <w:rFonts w:hint="eastAsia" w:ascii="宋体" w:hAnsi="宋体" w:cs="宋体"/>
          <w:color w:val="auto"/>
          <w:sz w:val="24"/>
          <w:szCs w:val="24"/>
          <w:highlight w:val="none"/>
        </w:rPr>
        <w:t>采购人：</w:t>
      </w:r>
      <w:r>
        <w:rPr>
          <w:rFonts w:hint="eastAsia" w:hAnsi="宋体" w:cs="宋体"/>
          <w:color w:val="auto"/>
          <w:sz w:val="24"/>
          <w:szCs w:val="24"/>
          <w:highlight w:val="none"/>
        </w:rPr>
        <w:t xml:space="preserve"> </w:t>
      </w:r>
      <w:r>
        <w:rPr>
          <w:rFonts w:hint="eastAsia"/>
          <w:color w:val="auto"/>
          <w:sz w:val="24"/>
          <w:szCs w:val="24"/>
          <w:highlight w:val="none"/>
          <w:lang w:eastAsia="zh-CN"/>
        </w:rPr>
        <w:t>泸县</w:t>
      </w:r>
      <w:r>
        <w:rPr>
          <w:rFonts w:hint="eastAsia"/>
          <w:color w:val="auto"/>
          <w:sz w:val="24"/>
          <w:szCs w:val="24"/>
          <w:highlight w:val="none"/>
        </w:rPr>
        <w:t>农业农村局</w:t>
      </w:r>
    </w:p>
    <w:p>
      <w:pPr>
        <w:pStyle w:val="15"/>
        <w:tabs>
          <w:tab w:val="right" w:leader="dot" w:pos="9345"/>
        </w:tabs>
        <w:adjustRightInd w:val="0"/>
        <w:snapToGrid w:val="0"/>
        <w:spacing w:before="0" w:after="0" w:line="40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联 系 人：</w:t>
      </w:r>
      <w:r>
        <w:rPr>
          <w:rFonts w:hint="eastAsia" w:ascii="宋体" w:hAnsi="宋体" w:cs="宋体"/>
          <w:b w:val="0"/>
          <w:bCs w:val="0"/>
          <w:color w:val="auto"/>
          <w:sz w:val="24"/>
          <w:szCs w:val="24"/>
          <w:highlight w:val="none"/>
          <w:lang w:val="en-US" w:eastAsia="zh-CN"/>
        </w:rPr>
        <w:t>贾</w:t>
      </w:r>
      <w:r>
        <w:rPr>
          <w:rFonts w:hint="eastAsia" w:ascii="宋体" w:hAnsi="宋体" w:cs="宋体"/>
          <w:b w:val="0"/>
          <w:bCs w:val="0"/>
          <w:color w:val="auto"/>
          <w:sz w:val="24"/>
          <w:szCs w:val="24"/>
          <w:highlight w:val="none"/>
        </w:rPr>
        <w:t>老师</w:t>
      </w:r>
    </w:p>
    <w:p>
      <w:pPr>
        <w:pStyle w:val="15"/>
        <w:tabs>
          <w:tab w:val="right" w:leader="dot" w:pos="9345"/>
        </w:tabs>
        <w:adjustRightInd w:val="0"/>
        <w:snapToGrid w:val="0"/>
        <w:spacing w:before="0" w:after="0" w:line="40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0830-8182734</w:t>
      </w:r>
    </w:p>
    <w:p>
      <w:pPr>
        <w:pStyle w:val="15"/>
        <w:tabs>
          <w:tab w:val="right" w:leader="dot" w:pos="9345"/>
        </w:tabs>
        <w:adjustRightInd w:val="0"/>
        <w:snapToGrid w:val="0"/>
        <w:spacing w:before="0" w:after="0" w:line="400" w:lineRule="exact"/>
        <w:ind w:firstLine="480" w:firstLineChars="200"/>
        <w:rPr>
          <w:rFonts w:ascii="宋体" w:hAnsi="宋体"/>
          <w:color w:val="auto"/>
          <w:sz w:val="24"/>
          <w:szCs w:val="24"/>
          <w:highlight w:val="none"/>
        </w:rPr>
      </w:pPr>
      <w:r>
        <w:rPr>
          <w:rFonts w:hint="eastAsia" w:ascii="宋体" w:hAnsi="宋体" w:cs="宋体"/>
          <w:b w:val="0"/>
          <w:bCs w:val="0"/>
          <w:color w:val="auto"/>
          <w:sz w:val="24"/>
          <w:szCs w:val="24"/>
          <w:highlight w:val="none"/>
        </w:rPr>
        <w:t>通讯地址：四川省泸州市泸县玉蟾大道</w:t>
      </w:r>
      <w:r>
        <w:rPr>
          <w:rFonts w:hint="eastAsia" w:ascii="宋体" w:hAnsi="宋体" w:cs="宋体"/>
          <w:b w:val="0"/>
          <w:bCs w:val="0"/>
          <w:color w:val="auto"/>
          <w:sz w:val="24"/>
          <w:szCs w:val="24"/>
          <w:highlight w:val="none"/>
          <w:lang w:val="en-US" w:eastAsia="zh-CN"/>
        </w:rPr>
        <w:t>444</w:t>
      </w:r>
      <w:r>
        <w:rPr>
          <w:rFonts w:hint="eastAsia" w:ascii="宋体" w:hAnsi="宋体" w:cs="宋体"/>
          <w:b w:val="0"/>
          <w:bCs w:val="0"/>
          <w:color w:val="auto"/>
          <w:sz w:val="24"/>
          <w:szCs w:val="24"/>
          <w:highlight w:val="none"/>
        </w:rPr>
        <w:t>号</w:t>
      </w: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p>
    <w:p>
      <w:pPr>
        <w:spacing w:line="360" w:lineRule="auto"/>
        <w:jc w:val="center"/>
        <w:outlineLvl w:val="0"/>
        <w:rPr>
          <w:rFonts w:hint="eastAsia" w:ascii="宋体" w:hAnsi="宋体" w:cs="仿宋"/>
          <w:b/>
          <w:color w:val="auto"/>
          <w:sz w:val="36"/>
          <w:szCs w:val="36"/>
          <w:highlight w:val="none"/>
        </w:rPr>
      </w:pPr>
      <w:bookmarkStart w:id="10" w:name="_Toc14532"/>
      <w:r>
        <w:rPr>
          <w:rFonts w:hint="eastAsia" w:ascii="宋体" w:hAnsi="宋体" w:cs="仿宋"/>
          <w:b/>
          <w:color w:val="auto"/>
          <w:sz w:val="36"/>
          <w:szCs w:val="36"/>
          <w:highlight w:val="none"/>
        </w:rPr>
        <w:t>第二章 询价须知</w:t>
      </w:r>
      <w:bookmarkEnd w:id="7"/>
      <w:bookmarkEnd w:id="10"/>
    </w:p>
    <w:p>
      <w:pPr>
        <w:jc w:val="center"/>
        <w:outlineLvl w:val="1"/>
        <w:rPr>
          <w:rFonts w:hint="eastAsia" w:ascii="宋体" w:hAnsi="宋体" w:cs="仿宋"/>
          <w:b/>
          <w:color w:val="auto"/>
          <w:sz w:val="32"/>
          <w:szCs w:val="32"/>
          <w:highlight w:val="none"/>
        </w:rPr>
      </w:pPr>
      <w:r>
        <w:rPr>
          <w:rFonts w:hint="eastAsia" w:ascii="宋体" w:hAnsi="宋体" w:cs="仿宋"/>
          <w:b/>
          <w:color w:val="auto"/>
          <w:sz w:val="32"/>
          <w:szCs w:val="32"/>
          <w:highlight w:val="none"/>
        </w:rPr>
        <w:t>一、投标人须知前附表</w:t>
      </w:r>
    </w:p>
    <w:tbl>
      <w:tblPr>
        <w:tblStyle w:val="21"/>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9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序号</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条款名称</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1</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采购人</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名称：泸县</w:t>
            </w:r>
            <w:r>
              <w:rPr>
                <w:rFonts w:hint="eastAsia" w:ascii="宋体" w:hAnsi="宋体"/>
                <w:color w:val="auto"/>
                <w:szCs w:val="21"/>
                <w:highlight w:val="none"/>
                <w:lang w:eastAsia="zh-CN"/>
              </w:rPr>
              <w:t>农业农村局</w:t>
            </w:r>
          </w:p>
          <w:p>
            <w:pPr>
              <w:rPr>
                <w:rFonts w:hint="eastAsia" w:ascii="宋体" w:hAnsi="宋体"/>
                <w:color w:val="auto"/>
                <w:szCs w:val="21"/>
                <w:highlight w:val="none"/>
              </w:rPr>
            </w:pPr>
            <w:r>
              <w:rPr>
                <w:rFonts w:hint="eastAsia" w:ascii="宋体" w:hAnsi="宋体"/>
                <w:color w:val="auto"/>
                <w:szCs w:val="21"/>
                <w:highlight w:val="none"/>
              </w:rPr>
              <w:t>联 系 人：</w:t>
            </w:r>
            <w:r>
              <w:rPr>
                <w:rFonts w:hint="eastAsia" w:ascii="宋体" w:hAnsi="宋体" w:cs="宋体"/>
                <w:color w:val="auto"/>
                <w:kern w:val="0"/>
                <w:sz w:val="24"/>
                <w:highlight w:val="none"/>
                <w:lang w:eastAsia="zh-CN"/>
              </w:rPr>
              <w:t>贾敏</w:t>
            </w:r>
            <w:r>
              <w:rPr>
                <w:rFonts w:hint="eastAsia" w:ascii="宋体" w:hAnsi="宋体"/>
                <w:color w:val="auto"/>
                <w:szCs w:val="21"/>
                <w:highlight w:val="none"/>
              </w:rPr>
              <w:t xml:space="preserve"> </w:t>
            </w:r>
          </w:p>
          <w:p>
            <w:pPr>
              <w:pStyle w:val="8"/>
              <w:spacing w:after="156" w:afterLines="50" w:line="360" w:lineRule="auto"/>
              <w:ind w:firstLine="0" w:firstLineChars="0"/>
              <w:rPr>
                <w:rFonts w:hint="default" w:ascii="宋体" w:hAnsi="宋体" w:eastAsia="宋体"/>
                <w:color w:val="auto"/>
                <w:szCs w:val="21"/>
                <w:highlight w:val="none"/>
                <w:lang w:val="en-US" w:eastAsia="zh-CN"/>
              </w:rPr>
            </w:pPr>
            <w:r>
              <w:rPr>
                <w:rFonts w:hint="eastAsia" w:ascii="宋体" w:hAnsi="宋体"/>
                <w:color w:val="auto"/>
                <w:sz w:val="21"/>
                <w:szCs w:val="21"/>
                <w:highlight w:val="none"/>
              </w:rPr>
              <w:t>联系电话：</w:t>
            </w:r>
            <w:r>
              <w:rPr>
                <w:rFonts w:hint="eastAsia" w:ascii="宋体" w:hAnsi="宋体"/>
                <w:color w:val="auto"/>
                <w:sz w:val="21"/>
                <w:szCs w:val="21"/>
                <w:highlight w:val="none"/>
                <w:lang w:val="en-US" w:eastAsia="zh-CN"/>
              </w:rPr>
              <w:t>0830-8182734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2</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s="仿宋"/>
                <w:b w:val="0"/>
                <w:bCs w:val="0"/>
                <w:color w:val="auto"/>
                <w:sz w:val="24"/>
                <w:highlight w:val="none"/>
                <w:u w:val="none"/>
                <w:lang w:eastAsia="zh-CN"/>
              </w:rPr>
              <w:t>泸县2024年柑橘黄龙病监测调查及柑橘木虱普查服务项目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3</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价格标的</w:t>
            </w:r>
          </w:p>
        </w:tc>
        <w:tc>
          <w:tcPr>
            <w:tcW w:w="7380" w:type="dxa"/>
            <w:tcBorders>
              <w:top w:val="single" w:color="auto" w:sz="4" w:space="0"/>
              <w:left w:val="single" w:color="auto" w:sz="4" w:space="0"/>
              <w:bottom w:val="single" w:color="auto" w:sz="4" w:space="0"/>
              <w:right w:val="single" w:color="auto" w:sz="4" w:space="0"/>
            </w:tcBorders>
            <w:vAlign w:val="center"/>
          </w:tcPr>
          <w:p>
            <w:pPr>
              <w:pStyle w:val="55"/>
              <w:rPr>
                <w:color w:val="auto"/>
                <w:sz w:val="20"/>
                <w:highlight w:val="none"/>
              </w:rPr>
            </w:pPr>
            <w:r>
              <w:rPr>
                <w:rFonts w:hint="eastAsia"/>
                <w:color w:val="auto"/>
                <w:highlight w:val="none"/>
                <w:lang w:val="zh-CN"/>
              </w:rPr>
              <w:t>本项目报价不能超过采购人设定的最高限价：</w:t>
            </w:r>
            <w:r>
              <w:rPr>
                <w:rFonts w:hint="eastAsia" w:cs="仿宋"/>
                <w:b w:val="0"/>
                <w:bCs w:val="0"/>
                <w:color w:val="auto"/>
                <w:sz w:val="24"/>
                <w:highlight w:val="none"/>
                <w:u w:val="none"/>
                <w:lang w:val="en-US" w:eastAsia="zh-CN"/>
              </w:rPr>
              <w:t>140000元</w:t>
            </w:r>
            <w:r>
              <w:rPr>
                <w:rFonts w:hint="eastAsia"/>
                <w:color w:val="auto"/>
                <w:highlight w:val="none"/>
              </w:rPr>
              <w:t>（大写：</w:t>
            </w:r>
            <w:r>
              <w:rPr>
                <w:rFonts w:hint="eastAsia"/>
                <w:color w:val="auto"/>
                <w:highlight w:val="none"/>
                <w:lang w:eastAsia="zh-CN"/>
              </w:rPr>
              <w:t>壹拾肆万圆整</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4</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采购方式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5</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评审方法</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根据符合采购需求、质量等且报价最低的原则确定成交供应商的采购方式。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olor w:val="auto"/>
                <w:highlight w:val="none"/>
              </w:rPr>
            </w:pPr>
            <w:r>
              <w:rPr>
                <w:rFonts w:hint="eastAsia" w:ascii="宋体" w:hAnsi="宋体"/>
                <w:color w:val="auto"/>
                <w:highlight w:val="none"/>
              </w:rPr>
              <w:t>6</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eastAsia="zh-CN"/>
              </w:rPr>
              <w:t>服务期限</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highlight w:val="none"/>
                <w:lang w:eastAsia="zh-CN"/>
              </w:rPr>
            </w:pPr>
            <w:r>
              <w:rPr>
                <w:rFonts w:hint="eastAsia" w:asciiTheme="minorEastAsia" w:hAnsiTheme="minorEastAsia" w:eastAsiaTheme="minorEastAsia" w:cstheme="minorEastAsia"/>
                <w:b w:val="0"/>
                <w:bCs w:val="0"/>
                <w:color w:val="auto"/>
                <w:sz w:val="24"/>
                <w:szCs w:val="24"/>
                <w:highlight w:val="none"/>
              </w:rPr>
              <w:t>合同签订后至</w:t>
            </w:r>
            <w:r>
              <w:rPr>
                <w:rFonts w:hint="eastAsia" w:asciiTheme="minorEastAsia" w:hAnsiTheme="minorEastAsia" w:eastAsiaTheme="minorEastAsia" w:cstheme="minorEastAsia"/>
                <w:b w:val="0"/>
                <w:bCs w:val="0"/>
                <w:color w:val="auto"/>
                <w:sz w:val="24"/>
                <w:szCs w:val="24"/>
                <w:highlight w:val="none"/>
                <w:lang w:eastAsia="zh-CN"/>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年</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日前</w:t>
            </w:r>
            <w:r>
              <w:rPr>
                <w:rFonts w:hint="eastAsia" w:asciiTheme="minorEastAsia" w:hAnsiTheme="minorEastAsia" w:eastAsiaTheme="minorEastAsia" w:cstheme="minorEastAsia"/>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olor w:val="auto"/>
                <w:highlight w:val="none"/>
              </w:rPr>
            </w:pPr>
            <w:r>
              <w:rPr>
                <w:rFonts w:hint="eastAsia" w:ascii="宋体" w:hAnsi="宋体"/>
                <w:color w:val="auto"/>
                <w:highlight w:val="none"/>
              </w:rPr>
              <w:t>7</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lang w:eastAsia="zh-CN"/>
              </w:rPr>
              <w:t>质量</w:t>
            </w:r>
            <w:r>
              <w:rPr>
                <w:rFonts w:hint="eastAsia" w:ascii="宋体" w:hAnsi="宋体" w:cs="宋体"/>
                <w:color w:val="auto"/>
                <w:highlight w:val="none"/>
              </w:rPr>
              <w:t>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符合采购技术、服务和商务要求。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olor w:val="auto"/>
                <w:highlight w:val="none"/>
              </w:rPr>
            </w:pPr>
            <w:r>
              <w:rPr>
                <w:rFonts w:hint="eastAsia" w:ascii="宋体" w:hAnsi="宋体"/>
                <w:color w:val="auto"/>
                <w:highlight w:val="none"/>
              </w:rPr>
              <w:t>8</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组织开标</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highlight w:val="none"/>
              </w:rPr>
            </w:pPr>
            <w:r>
              <w:rPr>
                <w:rFonts w:hint="eastAsia" w:ascii="宋体" w:hAnsi="宋体" w:cs="宋体"/>
                <w:color w:val="auto"/>
                <w:highlight w:val="none"/>
              </w:rPr>
              <w:t>由</w:t>
            </w:r>
            <w:r>
              <w:rPr>
                <w:rFonts w:hint="eastAsia" w:ascii="宋体" w:hAnsi="宋体" w:cs="宋体"/>
                <w:color w:val="auto"/>
                <w:highlight w:val="none"/>
                <w:lang w:eastAsia="zh-CN"/>
              </w:rPr>
              <w:t>农业农村局植保植检股</w:t>
            </w:r>
            <w:r>
              <w:rPr>
                <w:rFonts w:hint="eastAsia" w:ascii="宋体" w:hAnsi="宋体" w:cs="宋体"/>
                <w:color w:val="auto"/>
                <w:highlight w:val="none"/>
              </w:rPr>
              <w:t>、计财股、纪委监察室组织开标。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olor w:val="auto"/>
                <w:highlight w:val="none"/>
              </w:rPr>
            </w:pPr>
            <w:r>
              <w:rPr>
                <w:rFonts w:hint="eastAsia" w:ascii="宋体" w:hAnsi="宋体"/>
                <w:color w:val="auto"/>
                <w:highlight w:val="none"/>
              </w:rPr>
              <w:t>9</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联合体投标</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olor w:val="auto"/>
                <w:highlight w:val="none"/>
              </w:rPr>
              <w:t>不允许联合体参加投标。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44" w:firstLineChars="69"/>
              <w:rPr>
                <w:rFonts w:ascii="宋体" w:hAnsi="宋体"/>
                <w:color w:val="auto"/>
                <w:highlight w:val="none"/>
              </w:rPr>
            </w:pPr>
            <w:r>
              <w:rPr>
                <w:rFonts w:hint="eastAsia" w:ascii="宋体" w:hAnsi="宋体"/>
                <w:color w:val="auto"/>
                <w:highlight w:val="none"/>
              </w:rPr>
              <w:t>10</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响应文件份数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lang w:val="zh-CN"/>
              </w:rPr>
            </w:pPr>
            <w:r>
              <w:rPr>
                <w:rFonts w:hint="eastAsia" w:ascii="宋体" w:hAnsi="宋体"/>
                <w:color w:val="auto"/>
                <w:highlight w:val="none"/>
                <w:lang w:val="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olor w:val="auto"/>
                <w:highlight w:val="none"/>
              </w:rPr>
            </w:pPr>
            <w:r>
              <w:rPr>
                <w:rFonts w:hint="eastAsia" w:ascii="宋体" w:hAnsi="宋体"/>
                <w:color w:val="auto"/>
                <w:highlight w:val="none"/>
              </w:rPr>
              <w:t>11</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备选投标方案和报价</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olor w:val="auto"/>
                <w:highlight w:val="none"/>
              </w:rPr>
            </w:pPr>
            <w:r>
              <w:rPr>
                <w:rFonts w:hint="eastAsia" w:ascii="宋体" w:hAnsi="宋体"/>
                <w:color w:val="auto"/>
                <w:highlight w:val="none"/>
              </w:rPr>
              <w:t>12</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签字盖章</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rPr>
              <w:t>投标人必须按照询价文件</w:t>
            </w:r>
            <w:r>
              <w:rPr>
                <w:rFonts w:hint="eastAsia" w:ascii="宋体" w:hAnsi="宋体"/>
                <w:color w:val="auto"/>
                <w:highlight w:val="none"/>
                <w:lang w:val="zh-CN"/>
              </w:rPr>
              <w:t>的规定和要求签字、盖章（法人代表</w:t>
            </w:r>
            <w:r>
              <w:rPr>
                <w:rFonts w:hint="eastAsia" w:ascii="宋体" w:hAnsi="宋体"/>
                <w:color w:val="auto"/>
                <w:highlight w:val="none"/>
              </w:rPr>
              <w:t>的签字</w:t>
            </w:r>
            <w:r>
              <w:rPr>
                <w:rFonts w:hint="eastAsia" w:ascii="宋体" w:hAnsi="宋体"/>
                <w:color w:val="auto"/>
                <w:highlight w:val="none"/>
                <w:lang w:val="zh-CN"/>
              </w:rPr>
              <w:t>可用</w:t>
            </w:r>
            <w:r>
              <w:rPr>
                <w:rFonts w:hint="eastAsia" w:ascii="宋体" w:hAnsi="宋体"/>
                <w:color w:val="auto"/>
                <w:highlight w:val="none"/>
              </w:rPr>
              <w:t>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olor w:val="auto"/>
                <w:highlight w:val="none"/>
              </w:rPr>
            </w:pPr>
            <w:r>
              <w:rPr>
                <w:rFonts w:hint="eastAsia" w:ascii="宋体" w:hAnsi="宋体"/>
                <w:color w:val="auto"/>
                <w:highlight w:val="none"/>
              </w:rPr>
              <w:t>13</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响应文件的装订</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olor w:val="auto"/>
                <w:highlight w:val="none"/>
                <w:lang w:val="zh-CN"/>
              </w:rPr>
              <w:t>报价文件一份，以及</w:t>
            </w:r>
            <w:r>
              <w:rPr>
                <w:rFonts w:hint="eastAsia" w:ascii="宋体" w:hAnsi="宋体"/>
                <w:color w:val="auto"/>
                <w:highlight w:val="none"/>
              </w:rPr>
              <w:t>通过审查后提交的报价表一份分别装订。</w:t>
            </w:r>
          </w:p>
        </w:tc>
      </w:tr>
    </w:tbl>
    <w:p>
      <w:pPr>
        <w:jc w:val="center"/>
        <w:outlineLvl w:val="1"/>
        <w:rPr>
          <w:rFonts w:hint="eastAsia" w:ascii="宋体" w:hAnsi="宋体" w:cs="仿宋"/>
          <w:b/>
          <w:color w:val="auto"/>
          <w:sz w:val="32"/>
          <w:szCs w:val="32"/>
          <w:highlight w:val="none"/>
        </w:rPr>
      </w:pPr>
    </w:p>
    <w:p>
      <w:pPr>
        <w:jc w:val="center"/>
        <w:outlineLvl w:val="1"/>
        <w:rPr>
          <w:rFonts w:hint="eastAsia" w:ascii="宋体" w:hAnsi="宋体" w:cs="仿宋"/>
          <w:b/>
          <w:color w:val="auto"/>
          <w:sz w:val="32"/>
          <w:szCs w:val="32"/>
          <w:highlight w:val="none"/>
        </w:rPr>
      </w:pPr>
    </w:p>
    <w:p>
      <w:pPr>
        <w:jc w:val="center"/>
        <w:outlineLvl w:val="1"/>
        <w:rPr>
          <w:rFonts w:hint="eastAsia" w:ascii="宋体" w:hAnsi="宋体" w:cs="仿宋"/>
          <w:b/>
          <w:color w:val="auto"/>
          <w:sz w:val="32"/>
          <w:szCs w:val="32"/>
          <w:highlight w:val="none"/>
        </w:rPr>
      </w:pPr>
      <w:r>
        <w:rPr>
          <w:rFonts w:hint="eastAsia" w:ascii="宋体" w:hAnsi="宋体" w:cs="仿宋"/>
          <w:b/>
          <w:color w:val="auto"/>
          <w:sz w:val="32"/>
          <w:szCs w:val="32"/>
          <w:highlight w:val="none"/>
        </w:rPr>
        <w:t>二、总则</w:t>
      </w:r>
    </w:p>
    <w:p>
      <w:pPr>
        <w:tabs>
          <w:tab w:val="left" w:pos="1065"/>
        </w:tabs>
        <w:autoSpaceDE w:val="0"/>
        <w:autoSpaceDN w:val="0"/>
        <w:adjustRightInd w:val="0"/>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1、适用范围</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 本询价文件仅适用于本次询价邀请中所叙述的</w:t>
      </w:r>
      <w:r>
        <w:rPr>
          <w:rFonts w:hint="eastAsia" w:ascii="宋体" w:hAnsi="宋体" w:cs="宋体"/>
          <w:color w:val="auto"/>
          <w:kern w:val="0"/>
          <w:sz w:val="24"/>
          <w:highlight w:val="none"/>
          <w:lang w:eastAsia="zh-CN"/>
        </w:rPr>
        <w:t>采购内容</w:t>
      </w:r>
      <w:r>
        <w:rPr>
          <w:rFonts w:hint="eastAsia" w:ascii="宋体" w:hAnsi="宋体" w:cs="宋体"/>
          <w:color w:val="auto"/>
          <w:kern w:val="0"/>
          <w:sz w:val="24"/>
          <w:highlight w:val="none"/>
        </w:rPr>
        <w:t>。</w:t>
      </w:r>
    </w:p>
    <w:p>
      <w:pPr>
        <w:tabs>
          <w:tab w:val="left" w:pos="1546"/>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 本询价文件是根据《中华人民共和国政府采购法》及其他相关法律、法规编制。</w:t>
      </w:r>
    </w:p>
    <w:p>
      <w:pPr>
        <w:spacing w:line="440" w:lineRule="exact"/>
        <w:rPr>
          <w:rFonts w:hint="eastAsia" w:ascii="宋体" w:hAnsi="宋体"/>
          <w:b/>
          <w:color w:val="auto"/>
          <w:sz w:val="24"/>
          <w:highlight w:val="none"/>
        </w:rPr>
      </w:pPr>
      <w:r>
        <w:rPr>
          <w:rFonts w:hint="eastAsia" w:ascii="宋体" w:hAnsi="宋体"/>
          <w:b/>
          <w:color w:val="auto"/>
          <w:sz w:val="24"/>
          <w:highlight w:val="none"/>
        </w:rPr>
        <w:t>2、有关定义</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 “采购人”系指依法进行政府采购的国家机关、事业单位、团体组织。本次询价的采购人是</w:t>
      </w:r>
      <w:r>
        <w:rPr>
          <w:rFonts w:hint="eastAsia" w:ascii="宋体" w:hAnsi="宋体" w:cs="宋体"/>
          <w:b/>
          <w:bCs/>
          <w:color w:val="auto"/>
          <w:kern w:val="0"/>
          <w:sz w:val="24"/>
          <w:highlight w:val="none"/>
          <w:u w:val="single"/>
        </w:rPr>
        <w:t>泸县</w:t>
      </w:r>
      <w:r>
        <w:rPr>
          <w:rFonts w:hint="eastAsia" w:ascii="宋体" w:hAnsi="宋体" w:cs="宋体"/>
          <w:b/>
          <w:bCs/>
          <w:color w:val="auto"/>
          <w:kern w:val="0"/>
          <w:sz w:val="24"/>
          <w:highlight w:val="none"/>
          <w:u w:val="single"/>
          <w:lang w:eastAsia="zh-CN"/>
        </w:rPr>
        <w:t>农业农村局</w:t>
      </w:r>
      <w:r>
        <w:rPr>
          <w:rFonts w:hint="eastAsia" w:ascii="宋体" w:hAnsi="宋体" w:cs="宋体"/>
          <w:color w:val="auto"/>
          <w:kern w:val="0"/>
          <w:sz w:val="24"/>
          <w:highlight w:val="none"/>
        </w:rPr>
        <w:t>。</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 “询价采购单位”系指“采购人”和“采购代理机构”的统称。</w:t>
      </w:r>
    </w:p>
    <w:p>
      <w:pPr>
        <w:tabs>
          <w:tab w:val="left" w:pos="1065"/>
        </w:tabs>
        <w:autoSpaceDE w:val="0"/>
        <w:autoSpaceDN w:val="0"/>
        <w:adjustRightInd w:val="0"/>
        <w:spacing w:line="440" w:lineRule="exact"/>
        <w:ind w:firstLine="240" w:firstLineChars="100"/>
        <w:jc w:val="left"/>
        <w:rPr>
          <w:rFonts w:hint="eastAsia" w:ascii="宋体" w:hAnsi="宋体"/>
          <w:color w:val="auto"/>
          <w:sz w:val="24"/>
          <w:highlight w:val="none"/>
        </w:rPr>
      </w:pPr>
      <w:r>
        <w:rPr>
          <w:rFonts w:hint="eastAsia" w:ascii="宋体" w:hAnsi="宋体" w:cs="宋体"/>
          <w:color w:val="auto"/>
          <w:kern w:val="0"/>
          <w:sz w:val="24"/>
          <w:highlight w:val="none"/>
        </w:rPr>
        <w:t>2.3 “供应商”系指拟参加询价和向采购人提供</w:t>
      </w:r>
      <w:r>
        <w:rPr>
          <w:rFonts w:hint="eastAsia" w:ascii="宋体" w:hAnsi="宋体" w:cs="宋体"/>
          <w:color w:val="auto"/>
          <w:kern w:val="0"/>
          <w:sz w:val="24"/>
          <w:highlight w:val="none"/>
          <w:lang w:eastAsia="zh-CN"/>
        </w:rPr>
        <w:t>标的物</w:t>
      </w:r>
      <w:r>
        <w:rPr>
          <w:rFonts w:hint="eastAsia" w:ascii="宋体" w:hAnsi="宋体" w:cs="宋体"/>
          <w:color w:val="auto"/>
          <w:kern w:val="0"/>
          <w:sz w:val="24"/>
          <w:highlight w:val="none"/>
        </w:rPr>
        <w:t>的供应商。</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3、报价供应商资格条件要求</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参加询价的供应商应具备以下条件：</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 具备“询价邀请”第三条的基本条件；</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 遵守国家有关的法律、法规和条例；</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未满足以上条件的供应商均无资格参加本次报价。</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4、报价费用</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无论报价结果如何，供应商自行承担参加报价有关的全部费用。</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p>
    <w:p>
      <w:pPr>
        <w:jc w:val="center"/>
        <w:outlineLvl w:val="1"/>
        <w:rPr>
          <w:rFonts w:hint="eastAsia" w:ascii="宋体" w:hAnsi="宋体" w:cs="仿宋"/>
          <w:b/>
          <w:color w:val="auto"/>
          <w:sz w:val="32"/>
          <w:szCs w:val="32"/>
          <w:highlight w:val="none"/>
        </w:rPr>
      </w:pPr>
      <w:r>
        <w:rPr>
          <w:rFonts w:hint="eastAsia" w:ascii="宋体" w:hAnsi="宋体" w:cs="仿宋"/>
          <w:b/>
          <w:color w:val="auto"/>
          <w:sz w:val="32"/>
          <w:szCs w:val="32"/>
          <w:highlight w:val="none"/>
        </w:rPr>
        <w:t>三、询价文件</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1、概述</w:t>
      </w:r>
    </w:p>
    <w:p>
      <w:pPr>
        <w:tabs>
          <w:tab w:val="left" w:pos="1065"/>
        </w:tabs>
        <w:autoSpaceDE w:val="0"/>
        <w:autoSpaceDN w:val="0"/>
        <w:adjustRightInd w:val="0"/>
        <w:spacing w:line="440" w:lineRule="exact"/>
        <w:ind w:firstLine="241" w:firstLineChars="100"/>
        <w:jc w:val="left"/>
        <w:rPr>
          <w:rFonts w:hint="eastAsia" w:ascii="宋体" w:hAnsi="宋体" w:cs="宋体"/>
          <w:color w:val="auto"/>
          <w:kern w:val="0"/>
          <w:sz w:val="24"/>
          <w:highlight w:val="none"/>
        </w:rPr>
      </w:pPr>
      <w:r>
        <w:rPr>
          <w:rFonts w:hint="eastAsia" w:ascii="宋体" w:hAnsi="宋体"/>
          <w:b/>
          <w:color w:val="auto"/>
          <w:sz w:val="24"/>
          <w:highlight w:val="none"/>
        </w:rPr>
        <w:t xml:space="preserve"> </w:t>
      </w:r>
      <w:r>
        <w:rPr>
          <w:rFonts w:hint="eastAsia" w:ascii="宋体" w:hAnsi="宋体" w:cs="宋体"/>
          <w:color w:val="auto"/>
          <w:kern w:val="0"/>
          <w:sz w:val="24"/>
          <w:highlight w:val="none"/>
        </w:rPr>
        <w:t xml:space="preserve"> 1.1 本询价文件阐明了供应商所需提供项目范围和项目询价的程序，是本次采购活动具有法律效力的文件。</w:t>
      </w:r>
    </w:p>
    <w:p>
      <w:pPr>
        <w:tabs>
          <w:tab w:val="left" w:pos="1065"/>
        </w:tabs>
        <w:autoSpaceDE w:val="0"/>
        <w:autoSpaceDN w:val="0"/>
        <w:adjustRightInd w:val="0"/>
        <w:spacing w:line="44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 供应商应认真阅读询价文件中所有的事项、格式条款和规范等要求。供应商没有按照询价文件要求提交全部资料，或者报价文件没有对询价文件做出实质性响应而导致发生报价文件被拒绝或按照无效标处理的不利后果，由供应商自行承担相关风险。</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2、询价文件</w:t>
      </w:r>
      <w:r>
        <w:rPr>
          <w:rFonts w:ascii="宋体" w:hAnsi="宋体"/>
          <w:b/>
          <w:color w:val="auto"/>
          <w:sz w:val="24"/>
          <w:highlight w:val="none"/>
        </w:rPr>
        <w:t>的构成</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询价文件用以阐明项目所需的资质、技术、服务及报价等要求、询价程序、有关规定和注意事项以及合同主要条款等。本询价文件包括以下内容</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2.1 询价邀请；</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2.2 询价须知；</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2.3 采购内容、商务和售后有关要求；</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2.4 响应文件部分格式要求；</w:t>
      </w:r>
    </w:p>
    <w:p>
      <w:pPr>
        <w:spacing w:line="360" w:lineRule="auto"/>
        <w:ind w:firstLine="350" w:firstLineChars="146"/>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2.5 合同</w:t>
      </w:r>
      <w:r>
        <w:rPr>
          <w:rFonts w:hint="eastAsia" w:ascii="宋体" w:hAnsi="宋体" w:cs="宋体"/>
          <w:color w:val="auto"/>
          <w:kern w:val="0"/>
          <w:sz w:val="24"/>
          <w:highlight w:val="none"/>
          <w:lang w:eastAsia="zh-CN"/>
        </w:rPr>
        <w:t>主要条款。</w:t>
      </w:r>
    </w:p>
    <w:p>
      <w:pPr>
        <w:tabs>
          <w:tab w:val="left" w:pos="1546"/>
        </w:tabs>
        <w:autoSpaceDE w:val="0"/>
        <w:autoSpaceDN w:val="0"/>
        <w:adjustRightInd w:val="0"/>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3、询价要求：</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3.1 参加询价的供应商应仔细阅读询价文件的所有内容，按照询价文件的要求提供响应文件，并保证所提供的全部资料的真实性和有效性，发现有虚假行为的，将取消其参加询价或成交资格，并承担相应的法律责任。</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3.2 除非特别注明，供应商必须严格按照</w:t>
      </w:r>
      <w:r>
        <w:rPr>
          <w:rFonts w:hint="eastAsia" w:ascii="宋体" w:hAnsi="宋体" w:cs="宋体"/>
          <w:color w:val="auto"/>
          <w:kern w:val="0"/>
          <w:sz w:val="24"/>
          <w:highlight w:val="none"/>
          <w:u w:val="single"/>
          <w:lang w:eastAsia="zh-CN"/>
        </w:rPr>
        <w:t>泸县2024年柑橘黄龙病监测调查及柑橘木虱普查服务项目</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所列材料清单要求进行报价。</w:t>
      </w:r>
    </w:p>
    <w:p>
      <w:pPr>
        <w:spacing w:line="360" w:lineRule="auto"/>
        <w:ind w:firstLine="350" w:firstLineChars="146"/>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3.3 供应商不得相互串通，如发现有此行为的，将取消其询价或成交资格，并按有关规定进行处罚。</w:t>
      </w:r>
    </w:p>
    <w:p>
      <w:pPr>
        <w:tabs>
          <w:tab w:val="left" w:pos="1546"/>
        </w:tabs>
        <w:autoSpaceDE w:val="0"/>
        <w:autoSpaceDN w:val="0"/>
        <w:adjustRightInd w:val="0"/>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4、询价原则</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满足需求原则：供应商所提供的</w:t>
      </w:r>
      <w:r>
        <w:rPr>
          <w:rFonts w:hint="eastAsia" w:ascii="宋体" w:hAnsi="宋体" w:cs="宋体"/>
          <w:color w:val="auto"/>
          <w:kern w:val="0"/>
          <w:sz w:val="24"/>
          <w:highlight w:val="none"/>
          <w:u w:val="single"/>
          <w:lang w:eastAsia="zh-CN"/>
        </w:rPr>
        <w:t>泸县2024年柑橘黄龙病监测调查及柑橘木虱普查服务项目</w:t>
      </w:r>
      <w:r>
        <w:rPr>
          <w:rFonts w:hint="eastAsia" w:ascii="宋体" w:hAnsi="宋体" w:cs="宋体"/>
          <w:color w:val="auto"/>
          <w:kern w:val="0"/>
          <w:sz w:val="24"/>
          <w:highlight w:val="none"/>
          <w:lang w:eastAsia="zh-CN"/>
        </w:rPr>
        <w:t>技术参数要求</w:t>
      </w:r>
      <w:r>
        <w:rPr>
          <w:rFonts w:hint="eastAsia" w:ascii="宋体" w:hAnsi="宋体" w:cs="宋体"/>
          <w:color w:val="auto"/>
          <w:kern w:val="0"/>
          <w:sz w:val="24"/>
          <w:highlight w:val="none"/>
        </w:rPr>
        <w:t>，必须满足询价文件所规定的技术</w:t>
      </w:r>
      <w:r>
        <w:rPr>
          <w:rFonts w:hint="eastAsia" w:ascii="宋体" w:hAnsi="宋体" w:cs="宋体"/>
          <w:color w:val="auto"/>
          <w:kern w:val="0"/>
          <w:sz w:val="24"/>
          <w:highlight w:val="none"/>
          <w:lang w:eastAsia="zh-CN"/>
        </w:rPr>
        <w:t>参数</w:t>
      </w:r>
      <w:r>
        <w:rPr>
          <w:rFonts w:hint="eastAsia" w:ascii="宋体" w:hAnsi="宋体" w:cs="宋体"/>
          <w:color w:val="auto"/>
          <w:kern w:val="0"/>
          <w:sz w:val="24"/>
          <w:highlight w:val="none"/>
        </w:rPr>
        <w:t>要求，以及必须针对询价小组提出的技术、商务和售后以及报价方面的问题做出实质性响应。</w:t>
      </w:r>
    </w:p>
    <w:p>
      <w:pPr>
        <w:tabs>
          <w:tab w:val="left" w:pos="1546"/>
        </w:tabs>
        <w:autoSpaceDE w:val="0"/>
        <w:autoSpaceDN w:val="0"/>
        <w:adjustRightInd w:val="0"/>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5、询价文件的答疑：</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采购人对询价文件的真实性负责，供应商有权要求采购人对询价文件中的有关问题进行答疑的请以书面形式提交采购人。</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6、询价文件的修改：</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 在提交响应文件截止时前，询价采购单位无论出于何种原因，可以对询价文件进行澄清或者修改。</w:t>
      </w:r>
    </w:p>
    <w:p>
      <w:pPr>
        <w:spacing w:line="4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7、联合投标</w:t>
      </w:r>
    </w:p>
    <w:p>
      <w:pPr>
        <w:pStyle w:val="8"/>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本次政府采购活动不接受联合体投标。</w:t>
      </w:r>
    </w:p>
    <w:p>
      <w:pPr>
        <w:spacing w:line="720" w:lineRule="auto"/>
        <w:jc w:val="center"/>
        <w:outlineLvl w:val="1"/>
        <w:rPr>
          <w:rFonts w:hint="eastAsia" w:ascii="宋体" w:hAnsi="宋体" w:cs="仿宋"/>
          <w:b/>
          <w:color w:val="auto"/>
          <w:sz w:val="32"/>
          <w:szCs w:val="32"/>
          <w:highlight w:val="none"/>
        </w:rPr>
      </w:pPr>
      <w:bookmarkStart w:id="11" w:name="_Toc398802019"/>
      <w:r>
        <w:rPr>
          <w:rFonts w:hint="eastAsia" w:ascii="宋体" w:hAnsi="宋体" w:cs="仿宋"/>
          <w:b/>
          <w:color w:val="auto"/>
          <w:sz w:val="32"/>
          <w:szCs w:val="32"/>
          <w:highlight w:val="none"/>
        </w:rPr>
        <w:t>四、响应文件和报价表编制</w:t>
      </w:r>
      <w:bookmarkEnd w:id="11"/>
    </w:p>
    <w:p>
      <w:pPr>
        <w:rPr>
          <w:rFonts w:hint="eastAsia" w:ascii="宋体" w:hAnsi="宋体" w:cs="仿宋"/>
          <w:b/>
          <w:color w:val="auto"/>
          <w:sz w:val="28"/>
          <w:szCs w:val="28"/>
          <w:highlight w:val="none"/>
        </w:rPr>
      </w:pPr>
      <w:r>
        <w:rPr>
          <w:rFonts w:hint="eastAsia" w:ascii="宋体" w:hAnsi="宋体" w:cs="仿宋"/>
          <w:b/>
          <w:color w:val="auto"/>
          <w:sz w:val="28"/>
          <w:szCs w:val="28"/>
          <w:highlight w:val="none"/>
        </w:rPr>
        <w:t>1、响应文件编写和装订</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b w:val="0"/>
          <w:bCs/>
          <w:color w:val="auto"/>
          <w:kern w:val="0"/>
          <w:sz w:val="24"/>
          <w:highlight w:val="none"/>
          <w:lang w:val="en-US" w:eastAsia="zh-CN"/>
        </w:rPr>
        <w:t>1.1</w:t>
      </w:r>
      <w:r>
        <w:rPr>
          <w:rFonts w:hint="eastAsia" w:ascii="宋体" w:hAnsi="宋体" w:cs="宋体"/>
          <w:b w:val="0"/>
          <w:bCs/>
          <w:color w:val="auto"/>
          <w:kern w:val="0"/>
          <w:sz w:val="24"/>
          <w:highlight w:val="none"/>
        </w:rPr>
        <w:t xml:space="preserve"> </w:t>
      </w:r>
      <w:r>
        <w:rPr>
          <w:rFonts w:hint="eastAsia" w:ascii="宋体" w:hAnsi="宋体" w:cs="宋体"/>
          <w:color w:val="auto"/>
          <w:kern w:val="0"/>
          <w:sz w:val="24"/>
          <w:highlight w:val="none"/>
        </w:rPr>
        <w:t>供应商应按“供应商须知表”准备响应文件一份及报价表一份。</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 响应文件均需打印或用不褪色、不变质的墨水书写，并由供应商的法定代表人或其授权代表在规定签章处签字和盖章。</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 响应文件的打印和书写应清楚工整，任何行间插字、涂改或增删，必须由供应商的法定代表人或其授权代表签字或加盖个人印鉴。字迹潦草、表达不清或可能导致非唯一理解的响应文件可能视为无效文件。</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 响应文件必须装订成册。</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 响应文件应根据询价文件的要求制作，签署、盖章和内容应完整。</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 响应文件统一用A4幅面纸印制。</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 未按照以上要求编写、装订、签字和盖章的，评标委员会有权将其响应文件视为无效文件处理。</w:t>
      </w:r>
    </w:p>
    <w:p>
      <w:pPr>
        <w:spacing w:line="360" w:lineRule="auto"/>
        <w:rPr>
          <w:rFonts w:hint="eastAsia" w:ascii="宋体" w:hAnsi="宋体" w:cs="仿宋"/>
          <w:b/>
          <w:color w:val="auto"/>
          <w:sz w:val="28"/>
          <w:szCs w:val="28"/>
          <w:highlight w:val="none"/>
        </w:rPr>
      </w:pPr>
      <w:r>
        <w:rPr>
          <w:rFonts w:hint="eastAsia" w:ascii="宋体" w:hAnsi="宋体" w:cs="仿宋"/>
          <w:b/>
          <w:color w:val="auto"/>
          <w:sz w:val="28"/>
          <w:szCs w:val="28"/>
          <w:highlight w:val="none"/>
        </w:rPr>
        <w:t>2、响应文件的组成。</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供应商必须严格按下列内容编制响应文件，否则其响应文件按无效响应处理，由此引起的后果由供应商自负。</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 封面；（格式</w:t>
      </w:r>
      <w:r>
        <w:rPr>
          <w:rFonts w:hint="eastAsia" w:ascii="宋体" w:hAnsi="宋体" w:cs="宋体"/>
          <w:color w:val="auto"/>
          <w:kern w:val="0"/>
          <w:sz w:val="24"/>
          <w:highlight w:val="none"/>
          <w:lang w:eastAsia="zh-CN"/>
        </w:rPr>
        <w:t>详见第五章格式</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 目录；</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2.3 响应函；（格式</w:t>
      </w:r>
      <w:r>
        <w:rPr>
          <w:rFonts w:hint="eastAsia" w:ascii="宋体" w:hAnsi="宋体" w:cs="宋体"/>
          <w:color w:val="auto"/>
          <w:kern w:val="0"/>
          <w:sz w:val="24"/>
          <w:highlight w:val="none"/>
          <w:lang w:eastAsia="zh-CN"/>
        </w:rPr>
        <w:t>详见第五章格式</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w:t>
      </w:r>
    </w:p>
    <w:p>
      <w:pPr>
        <w:spacing w:line="360" w:lineRule="auto"/>
        <w:ind w:firstLine="482" w:firstLineChars="200"/>
        <w:rPr>
          <w:rFonts w:hint="eastAsia" w:ascii="宋体" w:hAnsi="宋体" w:cs="仿宋"/>
          <w:b/>
          <w:bCs/>
          <w:color w:val="auto"/>
          <w:sz w:val="28"/>
          <w:szCs w:val="28"/>
          <w:highlight w:val="none"/>
        </w:rPr>
      </w:pPr>
      <w:r>
        <w:rPr>
          <w:rFonts w:hint="eastAsia" w:ascii="宋体" w:hAnsi="宋体" w:cs="宋体"/>
          <w:b/>
          <w:bCs/>
          <w:color w:val="auto"/>
          <w:kern w:val="0"/>
          <w:sz w:val="24"/>
          <w:highlight w:val="none"/>
        </w:rPr>
        <w:t>2.4 资格性部分</w:t>
      </w:r>
      <w:r>
        <w:rPr>
          <w:rFonts w:hint="eastAsia" w:ascii="宋体" w:hAnsi="宋体" w:cs="仿宋"/>
          <w:b/>
          <w:bCs/>
          <w:color w:val="auto"/>
          <w:sz w:val="28"/>
          <w:szCs w:val="28"/>
          <w:highlight w:val="none"/>
        </w:rPr>
        <w:t>：</w:t>
      </w:r>
    </w:p>
    <w:p>
      <w:pPr>
        <w:spacing w:line="360" w:lineRule="auto"/>
        <w:ind w:firstLine="480" w:firstLineChars="200"/>
        <w:rPr>
          <w:color w:val="auto"/>
          <w:sz w:val="24"/>
          <w:highlight w:val="none"/>
        </w:rPr>
      </w:pPr>
      <w:r>
        <w:rPr>
          <w:rFonts w:hint="eastAsia" w:ascii="宋体" w:hAnsi="宋体" w:cs="宋体"/>
          <w:color w:val="auto"/>
          <w:kern w:val="0"/>
          <w:sz w:val="24"/>
          <w:highlight w:val="none"/>
        </w:rPr>
        <w:t>1、具有独</w:t>
      </w:r>
      <w:r>
        <w:rPr>
          <w:rFonts w:hint="eastAsia"/>
          <w:color w:val="auto"/>
          <w:sz w:val="24"/>
          <w:highlight w:val="none"/>
        </w:rPr>
        <w:t>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p>
      <w:pPr>
        <w:pStyle w:val="43"/>
        <w:adjustRightInd w:val="0"/>
        <w:snapToGrid w:val="0"/>
        <w:ind w:firstLine="480"/>
        <w:rPr>
          <w:color w:val="auto"/>
          <w:sz w:val="24"/>
          <w:highlight w:val="none"/>
        </w:rPr>
      </w:pPr>
      <w:r>
        <w:rPr>
          <w:rFonts w:hint="eastAsia"/>
          <w:color w:val="auto"/>
          <w:sz w:val="24"/>
          <w:highlight w:val="none"/>
        </w:rPr>
        <w:t>2、具备良好商业信誉的证明材料（提供承诺函原件，格式详见第五章 格式1-9）；</w:t>
      </w:r>
    </w:p>
    <w:p>
      <w:pPr>
        <w:pStyle w:val="43"/>
        <w:adjustRightInd w:val="0"/>
        <w:snapToGrid w:val="0"/>
        <w:ind w:firstLine="480"/>
        <w:rPr>
          <w:color w:val="auto"/>
          <w:sz w:val="24"/>
          <w:highlight w:val="none"/>
        </w:rPr>
      </w:pPr>
      <w:r>
        <w:rPr>
          <w:rFonts w:hint="eastAsia"/>
          <w:color w:val="auto"/>
          <w:sz w:val="24"/>
          <w:highlight w:val="none"/>
        </w:rPr>
        <w:t>3、具备健全的财务会计制度的证明材料。｛注：①可提供202</w:t>
      </w:r>
      <w:r>
        <w:rPr>
          <w:rFonts w:hint="eastAsia"/>
          <w:color w:val="auto"/>
          <w:sz w:val="24"/>
          <w:highlight w:val="none"/>
          <w:lang w:val="en-US" w:eastAsia="zh-CN"/>
        </w:rPr>
        <w:t>1</w:t>
      </w:r>
      <w:r>
        <w:rPr>
          <w:rFonts w:hint="eastAsia"/>
          <w:color w:val="auto"/>
          <w:sz w:val="24"/>
          <w:highlight w:val="none"/>
        </w:rPr>
        <w:t>年</w:t>
      </w:r>
      <w:r>
        <w:rPr>
          <w:rFonts w:hint="eastAsia"/>
          <w:color w:val="auto"/>
          <w:sz w:val="24"/>
          <w:highlight w:val="none"/>
          <w:lang w:eastAsia="zh-CN"/>
        </w:rPr>
        <w:t>、</w:t>
      </w:r>
      <w:r>
        <w:rPr>
          <w:rFonts w:hint="eastAsia"/>
          <w:color w:val="auto"/>
          <w:sz w:val="24"/>
          <w:highlight w:val="none"/>
        </w:rPr>
        <w:t>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和2023年</w:t>
      </w:r>
      <w:r>
        <w:rPr>
          <w:rFonts w:hint="eastAsia"/>
          <w:color w:val="auto"/>
          <w:sz w:val="24"/>
          <w:highlight w:val="none"/>
        </w:rPr>
        <w:t>任意年度经审计的财务报告复印件；②也可提供202</w:t>
      </w:r>
      <w:r>
        <w:rPr>
          <w:rFonts w:hint="eastAsia"/>
          <w:color w:val="auto"/>
          <w:sz w:val="24"/>
          <w:highlight w:val="none"/>
          <w:lang w:val="en-US" w:eastAsia="zh-CN"/>
        </w:rPr>
        <w:t>1</w:t>
      </w:r>
      <w:r>
        <w:rPr>
          <w:rFonts w:hint="eastAsia"/>
          <w:color w:val="auto"/>
          <w:sz w:val="24"/>
          <w:highlight w:val="none"/>
        </w:rPr>
        <w:t>年</w:t>
      </w:r>
      <w:r>
        <w:rPr>
          <w:rFonts w:hint="eastAsia"/>
          <w:color w:val="auto"/>
          <w:sz w:val="24"/>
          <w:highlight w:val="none"/>
          <w:lang w:eastAsia="zh-CN"/>
        </w:rPr>
        <w:t>、</w:t>
      </w:r>
      <w:r>
        <w:rPr>
          <w:rFonts w:hint="eastAsia"/>
          <w:color w:val="auto"/>
          <w:sz w:val="24"/>
          <w:highlight w:val="none"/>
        </w:rPr>
        <w:t>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和2023年</w:t>
      </w:r>
      <w:r>
        <w:rPr>
          <w:rFonts w:hint="eastAsia"/>
          <w:color w:val="auto"/>
          <w:sz w:val="24"/>
          <w:highlight w:val="none"/>
        </w:rPr>
        <w:t>任意年度供应商内部的财务报表复印件（至少包含资产负债表）；③也可提供投标文件递交截止日前一年内银行出具的有效资信证明；④供应商注册时间距投标文件递交截止日不足一年的，提供成立后任意时段的资产负债表复印件；⑤也可提供承诺函原件，格式详见第五章 格式1-9）｝</w:t>
      </w:r>
    </w:p>
    <w:p>
      <w:pPr>
        <w:pStyle w:val="43"/>
        <w:adjustRightInd w:val="0"/>
        <w:snapToGrid w:val="0"/>
        <w:ind w:firstLine="480"/>
        <w:rPr>
          <w:color w:val="auto"/>
          <w:sz w:val="24"/>
          <w:highlight w:val="none"/>
        </w:rPr>
      </w:pPr>
      <w:r>
        <w:rPr>
          <w:rFonts w:hint="eastAsia"/>
          <w:color w:val="auto"/>
          <w:sz w:val="24"/>
          <w:highlight w:val="none"/>
        </w:rPr>
        <w:t>4、具有依法缴纳税收和社会保障资金良好记录的证明材料。｛注：①可提供（202</w:t>
      </w:r>
      <w:r>
        <w:rPr>
          <w:rFonts w:hint="eastAsia"/>
          <w:color w:val="auto"/>
          <w:sz w:val="24"/>
          <w:highlight w:val="none"/>
          <w:lang w:val="en-US" w:eastAsia="zh-CN"/>
        </w:rPr>
        <w:t>3</w:t>
      </w:r>
      <w:r>
        <w:rPr>
          <w:rFonts w:hint="eastAsia"/>
          <w:color w:val="auto"/>
          <w:sz w:val="24"/>
          <w:highlight w:val="none"/>
        </w:rPr>
        <w:t>年1月1日至今任意一个月缴纳社保和税收的证明材料（税收提供税务部门开具的发票或网银转账回执单等有效证明材料；社保资金提供社保部门开具的发票、网银转账回执单或社保部门出具的已缴费证明等有效证明材料。依法免税或不需要缴纳社会保障资金的供应商，应提供相应文件证明其依法免税或不需要缴纳社会保障资金）；②也可提供承诺函原件，格式详见第五章 格式1-9）｝</w:t>
      </w:r>
    </w:p>
    <w:p>
      <w:pPr>
        <w:pStyle w:val="43"/>
        <w:adjustRightInd w:val="0"/>
        <w:snapToGrid w:val="0"/>
        <w:ind w:firstLine="480"/>
        <w:rPr>
          <w:color w:val="auto"/>
          <w:sz w:val="24"/>
          <w:highlight w:val="none"/>
        </w:rPr>
      </w:pPr>
      <w:r>
        <w:rPr>
          <w:rFonts w:hint="eastAsia"/>
          <w:color w:val="auto"/>
          <w:sz w:val="24"/>
          <w:highlight w:val="none"/>
        </w:rPr>
        <w:t>5、具备履行合同所必需的设备和专业技术能力的证明材料（提供承诺函原件，格式详见第五章 格式1-9））；</w:t>
      </w:r>
    </w:p>
    <w:p>
      <w:pPr>
        <w:pStyle w:val="43"/>
        <w:adjustRightInd w:val="0"/>
        <w:snapToGrid w:val="0"/>
        <w:ind w:firstLine="480"/>
        <w:rPr>
          <w:color w:val="auto"/>
          <w:sz w:val="24"/>
          <w:highlight w:val="none"/>
        </w:rPr>
      </w:pPr>
      <w:r>
        <w:rPr>
          <w:rFonts w:hint="eastAsia"/>
          <w:color w:val="auto"/>
          <w:sz w:val="24"/>
          <w:highlight w:val="none"/>
        </w:rPr>
        <w:t>6、参加采购活动前三年内在经营活动中没有重大违法记录的承诺函（提供承诺函原件，格式详见第五章 格式1-9））；</w:t>
      </w:r>
    </w:p>
    <w:p>
      <w:pPr>
        <w:pStyle w:val="43"/>
        <w:adjustRightInd w:val="0"/>
        <w:snapToGrid w:val="0"/>
        <w:ind w:firstLine="480"/>
        <w:rPr>
          <w:color w:val="auto"/>
          <w:sz w:val="24"/>
          <w:highlight w:val="none"/>
        </w:rPr>
      </w:pPr>
      <w:r>
        <w:rPr>
          <w:rFonts w:hint="eastAsia"/>
          <w:color w:val="auto"/>
          <w:sz w:val="24"/>
          <w:highlight w:val="none"/>
        </w:rPr>
        <w:t>7、</w:t>
      </w:r>
      <w:r>
        <w:rPr>
          <w:rFonts w:hint="eastAsia" w:ascii="宋体" w:hAnsi="宋体"/>
          <w:color w:val="auto"/>
          <w:sz w:val="24"/>
          <w:highlight w:val="none"/>
        </w:rPr>
        <w:t>根据采购项目提出的特殊条件：无。</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注：本章所有承诺可单独承诺也可一并承诺。</w:t>
      </w:r>
    </w:p>
    <w:p>
      <w:pPr>
        <w:spacing w:line="720" w:lineRule="auto"/>
        <w:jc w:val="center"/>
        <w:outlineLvl w:val="1"/>
        <w:rPr>
          <w:rFonts w:hint="eastAsia" w:ascii="宋体" w:hAnsi="宋体" w:cs="仿宋"/>
          <w:b/>
          <w:color w:val="auto"/>
          <w:sz w:val="32"/>
          <w:szCs w:val="32"/>
          <w:highlight w:val="none"/>
        </w:rPr>
      </w:pPr>
      <w:bookmarkStart w:id="12" w:name="_Toc398802020"/>
      <w:r>
        <w:rPr>
          <w:rFonts w:hint="eastAsia" w:ascii="宋体" w:hAnsi="宋体" w:cs="仿宋"/>
          <w:b/>
          <w:color w:val="auto"/>
          <w:sz w:val="32"/>
          <w:szCs w:val="32"/>
          <w:highlight w:val="none"/>
        </w:rPr>
        <w:t>五、响应文件提交</w:t>
      </w:r>
      <w:bookmarkEnd w:id="12"/>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1、响应文件的密封和标记：</w:t>
      </w:r>
    </w:p>
    <w:p>
      <w:pPr>
        <w:tabs>
          <w:tab w:val="left" w:pos="7665"/>
        </w:tabs>
        <w:spacing w:line="440" w:lineRule="exact"/>
        <w:ind w:firstLine="480" w:firstLineChars="200"/>
        <w:rPr>
          <w:rFonts w:hint="eastAsia" w:ascii="宋体" w:hAnsi="宋体"/>
          <w:b/>
          <w:color w:val="auto"/>
          <w:sz w:val="24"/>
          <w:highlight w:val="none"/>
        </w:rPr>
      </w:pPr>
      <w:r>
        <w:rPr>
          <w:rFonts w:hint="eastAsia" w:ascii="宋体" w:hAnsi="宋体" w:cs="宋体"/>
          <w:color w:val="auto"/>
          <w:kern w:val="0"/>
          <w:sz w:val="24"/>
          <w:highlight w:val="none"/>
        </w:rPr>
        <w:t>1.1 供应商应将其响应文件用密封袋密封，并在封口处加盖单位公章。</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 在密封袋封面上注明项目名称和供应商名称、法定代表人或授权代表人签字、日期，</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1.3每一密封件上应注明“于   年   月  日  时   分之前不准启封”字样；</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1.4未按规定密封和标记的响应文件将被拒绝。</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2、提交响应文件的截止时间：</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供应商的响应文件必须在规定的截止时间前送达指定地点。</w:t>
      </w:r>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3、迟到的响应文件：</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采购人将拒绝任何供应商在提交响应文件截止时间后提交的响应文件。</w:t>
      </w:r>
    </w:p>
    <w:p>
      <w:pPr>
        <w:spacing w:line="720" w:lineRule="auto"/>
        <w:jc w:val="center"/>
        <w:outlineLvl w:val="1"/>
        <w:rPr>
          <w:rFonts w:hint="eastAsia" w:ascii="宋体" w:hAnsi="宋体" w:cs="仿宋"/>
          <w:b/>
          <w:color w:val="auto"/>
          <w:sz w:val="32"/>
          <w:szCs w:val="32"/>
          <w:highlight w:val="none"/>
        </w:rPr>
      </w:pPr>
      <w:bookmarkStart w:id="13" w:name="_Toc398802021"/>
      <w:r>
        <w:rPr>
          <w:rFonts w:hint="eastAsia" w:ascii="宋体" w:hAnsi="宋体" w:cs="仿宋"/>
          <w:b/>
          <w:color w:val="auto"/>
          <w:sz w:val="32"/>
          <w:szCs w:val="32"/>
          <w:highlight w:val="none"/>
        </w:rPr>
        <w:t>六、询价程序和成交</w:t>
      </w:r>
      <w:bookmarkEnd w:id="13"/>
    </w:p>
    <w:p>
      <w:pPr>
        <w:tabs>
          <w:tab w:val="left" w:pos="7665"/>
        </w:tabs>
        <w:spacing w:line="440" w:lineRule="exact"/>
        <w:rPr>
          <w:rFonts w:hint="eastAsia" w:ascii="宋体" w:hAnsi="宋体"/>
          <w:b/>
          <w:color w:val="auto"/>
          <w:sz w:val="24"/>
          <w:highlight w:val="none"/>
        </w:rPr>
      </w:pPr>
      <w:r>
        <w:rPr>
          <w:rFonts w:hint="eastAsia" w:ascii="宋体" w:hAnsi="宋体"/>
          <w:b/>
          <w:color w:val="auto"/>
          <w:sz w:val="24"/>
          <w:highlight w:val="none"/>
        </w:rPr>
        <w:t>1、评审程序和成交标准</w:t>
      </w:r>
    </w:p>
    <w:p>
      <w:pPr>
        <w:tabs>
          <w:tab w:val="left" w:pos="7665"/>
        </w:tabs>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 </w:t>
      </w:r>
      <w:r>
        <w:rPr>
          <w:rFonts w:hint="eastAsia" w:ascii="宋体" w:hAnsi="宋体" w:cs="宋体"/>
          <w:b/>
          <w:color w:val="auto"/>
          <w:kern w:val="0"/>
          <w:sz w:val="24"/>
          <w:highlight w:val="none"/>
        </w:rPr>
        <w:t xml:space="preserve">资格性审查 </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采购人将组建询价小组按照询价文件的规定审查供应商递交的响应，对询价文件中的资格性证明文件是否齐全有效等进行审查，以确定报价供应商是否具备报价资格。</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采购人随后将宣读通过资格审查和未通过资格审查供应商名单，同时将未通过资格审查供应商的原因告知供应商，通过资格性审查供应商不足三家的，本次采购活动终止。</w:t>
      </w:r>
    </w:p>
    <w:p>
      <w:pPr>
        <w:tabs>
          <w:tab w:val="left" w:pos="7665"/>
        </w:tabs>
        <w:spacing w:line="44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1.2 </w:t>
      </w:r>
      <w:r>
        <w:rPr>
          <w:rFonts w:hint="eastAsia" w:ascii="宋体" w:hAnsi="宋体" w:cs="宋体"/>
          <w:b/>
          <w:color w:val="auto"/>
          <w:kern w:val="0"/>
          <w:sz w:val="24"/>
          <w:highlight w:val="none"/>
        </w:rPr>
        <w:t>技术及服务性审查</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据询价文件的规定，从响应文件的有效性、完整性和对询价文件的响应程度进行审查，以确定是否对询价文件的实质性要求作出响应。若在技术及服务性审查中发现供应商响应文件不能满足询价文件规定采购项目最低要求或在审查过程中，询价小组发现或者知晓供应商存在违法、违纪行为的，询价小组应将该供应商淘汰。</w:t>
      </w:r>
    </w:p>
    <w:p>
      <w:pPr>
        <w:tabs>
          <w:tab w:val="left" w:pos="7665"/>
        </w:tabs>
        <w:spacing w:line="440" w:lineRule="exact"/>
        <w:ind w:firstLine="241" w:firstLineChars="100"/>
        <w:rPr>
          <w:rFonts w:hint="eastAsia" w:ascii="宋体" w:hAnsi="宋体" w:cs="宋体"/>
          <w:color w:val="auto"/>
          <w:kern w:val="0"/>
          <w:sz w:val="24"/>
          <w:highlight w:val="none"/>
        </w:rPr>
      </w:pPr>
      <w:r>
        <w:rPr>
          <w:rFonts w:hint="eastAsia" w:ascii="宋体" w:hAnsi="宋体" w:cs="宋体"/>
          <w:b/>
          <w:color w:val="auto"/>
          <w:kern w:val="0"/>
          <w:sz w:val="24"/>
          <w:highlight w:val="none"/>
        </w:rPr>
        <w:t>1.3报价及成交办法</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询价小组经审查，认为供应商响应文件满足询价文件规定要求的，才对供应商报价进行审查；供应商应标明单价，报价表必须签字和加盖公章，否则无效，且对项目的报价必须是唯一的，采购人不接受有任何选择的报价。</w:t>
      </w:r>
    </w:p>
    <w:p>
      <w:pPr>
        <w:tabs>
          <w:tab w:val="left" w:pos="7665"/>
        </w:tabs>
        <w:spacing w:line="440" w:lineRule="exact"/>
        <w:ind w:firstLine="480" w:firstLineChars="200"/>
        <w:rPr>
          <w:rFonts w:hint="eastAsia" w:ascii="宋体" w:hAnsi="宋体" w:cs="宋体"/>
          <w:color w:val="auto"/>
          <w:kern w:val="0"/>
          <w:sz w:val="24"/>
          <w:highlight w:val="none"/>
        </w:rPr>
      </w:pPr>
      <w:bookmarkStart w:id="14" w:name="_Toc197946693"/>
      <w:bookmarkStart w:id="15" w:name="_Toc163898415"/>
      <w:bookmarkStart w:id="16" w:name="_Toc360715330"/>
      <w:bookmarkStart w:id="17" w:name="_Toc173247937"/>
      <w:bookmarkStart w:id="18" w:name="_Toc174699719"/>
      <w:bookmarkStart w:id="19" w:name="_Toc172712870"/>
      <w:r>
        <w:rPr>
          <w:rFonts w:hint="eastAsia" w:ascii="宋体" w:hAnsi="宋体" w:cs="宋体"/>
          <w:color w:val="auto"/>
          <w:kern w:val="0"/>
          <w:sz w:val="24"/>
          <w:highlight w:val="none"/>
        </w:rPr>
        <w:t>本项目采用，询价小组仅对确定为实质上响应询价文件要求的响应文件进行评价和比较，即是指在均能满足询价文件实质性要求前提下,取报价最低者为成交候选人或成交供应商的评审方法。</w:t>
      </w:r>
    </w:p>
    <w:p>
      <w:pPr>
        <w:tabs>
          <w:tab w:val="left" w:pos="7665"/>
        </w:tabs>
        <w:spacing w:line="440" w:lineRule="exact"/>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供应商不足三家的处理</w:t>
      </w:r>
      <w:bookmarkEnd w:id="14"/>
      <w:bookmarkEnd w:id="15"/>
      <w:r>
        <w:rPr>
          <w:rFonts w:hint="eastAsia" w:ascii="宋体" w:hAnsi="宋体"/>
          <w:b/>
          <w:color w:val="auto"/>
          <w:sz w:val="24"/>
          <w:highlight w:val="none"/>
        </w:rPr>
        <w:t>及询价失败</w:t>
      </w:r>
      <w:bookmarkEnd w:id="16"/>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2.1参加报名或提交响应文件的供应商不足三家，以及在资格审查中询价小组发现通过资格审查的供应商不足三家，本次询价活动终止。</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2.2询价过程中，有下列情形之一的，项目终止采购活动：</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2.2.1参加本节规定的供应商不足三家的；</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2.2.2参加本节规定的供应商均被淘汰的；</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2.2.3评审结束，供应商响应文件均不能满足询价文件规定的采购项目最低要求的；</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2.2.4供应商报价均超过本次采购项目最高限价的；</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2.2.5</w:t>
      </w:r>
      <w:r>
        <w:rPr>
          <w:rFonts w:ascii="宋体" w:hAnsi="宋体" w:cs="宋体"/>
          <w:color w:val="auto"/>
          <w:kern w:val="0"/>
          <w:sz w:val="24"/>
          <w:highlight w:val="none"/>
        </w:rPr>
        <w:t>出现影响采购公正的违法、违规行为的；</w:t>
      </w:r>
    </w:p>
    <w:bookmarkEnd w:id="17"/>
    <w:bookmarkEnd w:id="18"/>
    <w:bookmarkEnd w:id="19"/>
    <w:p>
      <w:pPr>
        <w:spacing w:line="480" w:lineRule="exact"/>
        <w:rPr>
          <w:rFonts w:hint="eastAsia" w:ascii="宋体" w:hAnsi="宋体"/>
          <w:b/>
          <w:color w:val="auto"/>
          <w:sz w:val="24"/>
          <w:highlight w:val="none"/>
        </w:rPr>
      </w:pPr>
      <w:r>
        <w:rPr>
          <w:rFonts w:hint="eastAsia" w:ascii="宋体" w:hAnsi="宋体"/>
          <w:b/>
          <w:color w:val="auto"/>
          <w:sz w:val="24"/>
          <w:highlight w:val="none"/>
        </w:rPr>
        <w:t>3、成交通知</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3.1采购人当场对成交人发出成交通知书。采购人对投标人未成交的原因不予解释，所有投标人的投标资料一律不予退还。</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3.2 成交通知书将作为签订合同的依据。如果成交人没有按询价文件的规定执行，成交人的成交资格将被取消。</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pPr>
        <w:spacing w:line="480" w:lineRule="exact"/>
        <w:rPr>
          <w:rFonts w:hint="eastAsia" w:ascii="宋体" w:hAnsi="宋体"/>
          <w:b/>
          <w:color w:val="auto"/>
          <w:sz w:val="24"/>
          <w:highlight w:val="none"/>
        </w:rPr>
      </w:pPr>
      <w:r>
        <w:rPr>
          <w:rFonts w:hint="eastAsia" w:ascii="宋体" w:hAnsi="宋体"/>
          <w:b/>
          <w:color w:val="auto"/>
          <w:sz w:val="24"/>
          <w:highlight w:val="none"/>
        </w:rPr>
        <w:t>4、签订合同</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4.1 询价文件、成交供应商的响应文件及修改或澄清文件等，均为签订合同的依据。成交供应商必须在规定的时间日内按照询价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物部门确认后将成交供应商授予下一个成交候选人。</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 询价文件第五章泸州市政府采购项目采购合同是采购人与成交供应商签订合同的基本条款，成交供应商应认真阅读，在没有实质性违反询价文件及响应文件的前提下，采购人有权在合同签订前对合同条款进行适当修改、增加、删除，成交供应商不得以此为由拒绝签订合同。对此，请供应商参加投标前慎重考虑相关商业风险。</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 合同签订后不允许将合同转与其他单位。</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4.4 成交供应商因不可抗力或者自身原因不能履行采购合同的，采购人按有关规定重新确定成交供应商。</w:t>
      </w:r>
    </w:p>
    <w:p>
      <w:pPr>
        <w:spacing w:line="480" w:lineRule="exact"/>
        <w:rPr>
          <w:rFonts w:hint="eastAsia" w:ascii="宋体" w:hAnsi="宋体"/>
          <w:b/>
          <w:color w:val="auto"/>
          <w:sz w:val="24"/>
          <w:highlight w:val="none"/>
        </w:rPr>
      </w:pPr>
      <w:r>
        <w:rPr>
          <w:rFonts w:hint="eastAsia" w:ascii="宋体" w:hAnsi="宋体"/>
          <w:b/>
          <w:color w:val="auto"/>
          <w:sz w:val="24"/>
          <w:highlight w:val="none"/>
        </w:rPr>
        <w:t>5、恶意行为的处理细则、质疑和投诉</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5.1 供应商明知所提供的产品有一项或多项指标不能响应询价文件仍然报价，将该种参加行为定性为虚假响应，即“陪标”，经询价小组确认，一但供应商的“陪标”行为成立，除当场确定其为无效报价外,同时不予退还该供应商的全额投标保证金。</w:t>
      </w:r>
    </w:p>
    <w:p>
      <w:pPr>
        <w:tabs>
          <w:tab w:val="left" w:pos="7665"/>
        </w:tabs>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5.2 经查实，若供应商有提供虚假证明文件的行为，采购人将首先做出不予退还该供应商全额保证金的处理，同时，再视情节轻重和影响程度做出：在政府采购相关网站予以曝光、向有关部门通报。</w:t>
      </w:r>
    </w:p>
    <w:p>
      <w:pPr>
        <w:tabs>
          <w:tab w:val="left" w:pos="7665"/>
        </w:tabs>
        <w:spacing w:line="440" w:lineRule="exact"/>
        <w:ind w:firstLine="480" w:firstLineChars="200"/>
        <w:rPr>
          <w:rFonts w:hint="eastAsia" w:ascii="宋体" w:hAnsi="宋体" w:cs="宋体"/>
          <w:color w:val="auto"/>
          <w:kern w:val="0"/>
          <w:sz w:val="24"/>
          <w:highlight w:val="none"/>
        </w:rPr>
      </w:pPr>
    </w:p>
    <w:p>
      <w:pPr>
        <w:tabs>
          <w:tab w:val="left" w:pos="7665"/>
        </w:tabs>
        <w:spacing w:line="440" w:lineRule="exact"/>
        <w:ind w:firstLine="480" w:firstLineChars="200"/>
        <w:rPr>
          <w:rFonts w:hint="eastAsia" w:ascii="宋体" w:hAnsi="宋体" w:cs="宋体"/>
          <w:color w:val="auto"/>
          <w:kern w:val="0"/>
          <w:sz w:val="24"/>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rPr>
          <w:rFonts w:hint="eastAsia" w:ascii="宋体" w:hAnsi="宋体" w:cs="宋体"/>
          <w:color w:val="auto"/>
          <w:kern w:val="0"/>
          <w:sz w:val="24"/>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bookmarkStart w:id="20" w:name="_Toc12185"/>
      <w:r>
        <w:rPr>
          <w:rFonts w:hint="eastAsia"/>
          <w:color w:val="auto"/>
          <w:highlight w:val="none"/>
        </w:rPr>
        <w:t>第三章  项目技术、服务及商务要求</w:t>
      </w:r>
      <w:bookmarkEnd w:id="8"/>
      <w:bookmarkEnd w:id="9"/>
      <w:bookmarkEnd w:id="20"/>
    </w:p>
    <w:p>
      <w:pPr>
        <w:rPr>
          <w:color w:val="auto"/>
          <w:highlight w:val="none"/>
        </w:rPr>
      </w:pPr>
    </w:p>
    <w:p>
      <w:pPr>
        <w:pStyle w:val="7"/>
        <w:numPr>
          <w:ilvl w:val="0"/>
          <w:numId w:val="0"/>
        </w:numPr>
        <w:adjustRightInd w:val="0"/>
        <w:snapToGrid w:val="0"/>
        <w:spacing w:after="0" w:line="360" w:lineRule="auto"/>
        <w:ind w:firstLine="482" w:firstLineChars="200"/>
        <w:rPr>
          <w:rFonts w:hint="eastAsia" w:asciiTheme="minorEastAsia" w:hAnsiTheme="minorEastAsia" w:eastAsiaTheme="minorEastAsia" w:cstheme="minorEastAsia"/>
          <w:b/>
          <w:bCs/>
          <w:color w:val="auto"/>
          <w:sz w:val="24"/>
          <w:szCs w:val="24"/>
          <w:highlight w:val="none"/>
        </w:rPr>
      </w:pPr>
      <w:bookmarkStart w:id="21" w:name="_Toc16775"/>
      <w:bookmarkStart w:id="22" w:name="_Toc527444254"/>
      <w:r>
        <w:rPr>
          <w:rFonts w:hint="eastAsia" w:asciiTheme="minorEastAsia" w:hAnsiTheme="minorEastAsia" w:eastAsiaTheme="minorEastAsia" w:cstheme="minorEastAsia"/>
          <w:b/>
          <w:bCs/>
          <w:color w:val="auto"/>
          <w:sz w:val="24"/>
          <w:szCs w:val="24"/>
          <w:highlight w:val="none"/>
        </w:rPr>
        <w:t>一、项目概述</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泸县2024年柑橘黄龙病监测调查及柑橘木虱普查服务项目</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2、项目内容：</w:t>
      </w:r>
      <w:r>
        <w:rPr>
          <w:rFonts w:hint="eastAsia" w:asciiTheme="minorEastAsia" w:hAnsiTheme="minorEastAsia" w:eastAsiaTheme="minorEastAsia" w:cstheme="minorEastAsia"/>
          <w:color w:val="auto"/>
          <w:sz w:val="24"/>
          <w:szCs w:val="24"/>
          <w:highlight w:val="none"/>
          <w:lang w:val="en-US" w:eastAsia="zh-CN"/>
        </w:rPr>
        <w:t>为做好</w:t>
      </w:r>
      <w:r>
        <w:rPr>
          <w:rFonts w:hint="eastAsia" w:asciiTheme="minorEastAsia" w:hAnsiTheme="minorEastAsia" w:eastAsiaTheme="minorEastAsia" w:cstheme="minorEastAsia"/>
          <w:color w:val="auto"/>
          <w:sz w:val="24"/>
          <w:szCs w:val="24"/>
          <w:highlight w:val="none"/>
          <w:lang w:eastAsia="zh-CN"/>
        </w:rPr>
        <w:t>泸县</w:t>
      </w:r>
      <w:r>
        <w:rPr>
          <w:rFonts w:hint="eastAsia" w:asciiTheme="minorEastAsia" w:hAnsiTheme="minorEastAsia" w:eastAsiaTheme="minorEastAsia" w:cstheme="minorEastAsia"/>
          <w:color w:val="auto"/>
          <w:sz w:val="24"/>
          <w:szCs w:val="24"/>
          <w:highlight w:val="none"/>
        </w:rPr>
        <w:t>柑橘</w:t>
      </w:r>
      <w:r>
        <w:rPr>
          <w:rFonts w:hint="eastAsia" w:asciiTheme="minorEastAsia" w:hAnsiTheme="minorEastAsia" w:eastAsiaTheme="minorEastAsia" w:cstheme="minorEastAsia"/>
          <w:color w:val="auto"/>
          <w:sz w:val="24"/>
          <w:szCs w:val="24"/>
          <w:highlight w:val="none"/>
          <w:lang w:val="en-US" w:eastAsia="zh-CN"/>
        </w:rPr>
        <w:t>黄龙病</w:t>
      </w:r>
      <w:r>
        <w:rPr>
          <w:rFonts w:hint="eastAsia" w:asciiTheme="minorEastAsia" w:hAnsiTheme="minorEastAsia" w:eastAsiaTheme="minorEastAsia" w:cstheme="minorEastAsia"/>
          <w:color w:val="auto"/>
          <w:sz w:val="24"/>
          <w:szCs w:val="24"/>
          <w:highlight w:val="none"/>
        </w:rPr>
        <w:t>专项调查及</w:t>
      </w:r>
      <w:r>
        <w:rPr>
          <w:rFonts w:hint="eastAsia" w:asciiTheme="minorEastAsia" w:hAnsiTheme="minorEastAsia" w:eastAsiaTheme="minorEastAsia" w:cstheme="minorEastAsia"/>
          <w:color w:val="auto"/>
          <w:sz w:val="24"/>
          <w:szCs w:val="24"/>
          <w:highlight w:val="none"/>
          <w:lang w:val="en-US" w:eastAsia="zh-CN"/>
        </w:rPr>
        <w:t>柑橘木虱普查工作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在泸县</w:t>
      </w:r>
      <w:r>
        <w:rPr>
          <w:rFonts w:hint="eastAsia" w:asciiTheme="minorEastAsia" w:hAnsiTheme="minorEastAsia" w:eastAsiaTheme="minorEastAsia" w:cstheme="minorEastAsia"/>
          <w:color w:val="auto"/>
          <w:sz w:val="24"/>
          <w:szCs w:val="24"/>
          <w:highlight w:val="none"/>
        </w:rPr>
        <w:t>建立</w:t>
      </w:r>
      <w:r>
        <w:rPr>
          <w:rFonts w:hint="eastAsia" w:asciiTheme="minorEastAsia" w:hAnsiTheme="minorEastAsia" w:eastAsiaTheme="minorEastAsia" w:cstheme="minorEastAsia"/>
          <w:color w:val="auto"/>
          <w:sz w:val="24"/>
          <w:szCs w:val="24"/>
          <w:highlight w:val="none"/>
          <w:lang w:eastAsia="zh-CN"/>
        </w:rPr>
        <w:t>柑橘</w:t>
      </w:r>
      <w:r>
        <w:rPr>
          <w:rFonts w:hint="eastAsia" w:asciiTheme="minorEastAsia" w:hAnsiTheme="minorEastAsia" w:eastAsiaTheme="minorEastAsia" w:cstheme="minorEastAsia"/>
          <w:color w:val="auto"/>
          <w:sz w:val="24"/>
          <w:szCs w:val="24"/>
          <w:highlight w:val="none"/>
        </w:rPr>
        <w:t>黄龙病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含柑橘木虱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监测点，完成植物检疫性有害生物抽样监测</w:t>
      </w:r>
      <w:r>
        <w:rPr>
          <w:rFonts w:hint="eastAsia" w:asciiTheme="minorEastAsia" w:hAnsiTheme="minorEastAsia" w:eastAsiaTheme="minorEastAsia" w:cstheme="minorEastAsia"/>
          <w:color w:val="auto"/>
          <w:sz w:val="24"/>
          <w:szCs w:val="24"/>
          <w:highlight w:val="none"/>
          <w:lang w:eastAsia="zh-CN"/>
        </w:rPr>
        <w:t>。</w:t>
      </w:r>
    </w:p>
    <w:p>
      <w:pPr>
        <w:pStyle w:val="7"/>
        <w:numPr>
          <w:ilvl w:val="0"/>
          <w:numId w:val="2"/>
        </w:numPr>
        <w:adjustRightInd w:val="0"/>
        <w:snapToGrid w:val="0"/>
        <w:spacing w:after="0"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项目技术及服务要求</w:t>
      </w:r>
    </w:p>
    <w:p>
      <w:pPr>
        <w:pStyle w:val="7"/>
        <w:adjustRightInd w:val="0"/>
        <w:snapToGrid w:val="0"/>
        <w:spacing w:after="0"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（一）植物疫情监测调查</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1、项目服务内容</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（1）调查作物：柑橘。</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（2）调查对象：柑橘黄龙病（</w:t>
      </w:r>
      <w:r>
        <w:rPr>
          <w:rFonts w:hint="eastAsia" w:asciiTheme="minorEastAsia" w:hAnsiTheme="minorEastAsia" w:eastAsiaTheme="minorEastAsia" w:cstheme="minorEastAsia"/>
          <w:color w:val="auto"/>
          <w:sz w:val="24"/>
          <w:szCs w:val="24"/>
          <w:highlight w:val="none"/>
          <w:lang w:val="en-US" w:eastAsia="zh-CN"/>
        </w:rPr>
        <w:t>含柑橘</w:t>
      </w:r>
      <w:r>
        <w:rPr>
          <w:rFonts w:hint="eastAsia" w:asciiTheme="minorEastAsia" w:hAnsiTheme="minorEastAsia" w:eastAsiaTheme="minorEastAsia" w:cstheme="minorEastAsia"/>
          <w:color w:val="auto"/>
          <w:sz w:val="24"/>
          <w:szCs w:val="24"/>
          <w:highlight w:val="none"/>
        </w:rPr>
        <w:t>木虱）。</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、植物疫情专项调查要求</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（1）植物疫情调查</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全县建立</w:t>
      </w:r>
      <w:r>
        <w:rPr>
          <w:rFonts w:hint="eastAsia" w:asciiTheme="minorEastAsia" w:hAnsiTheme="minorEastAsia" w:eastAsiaTheme="minorEastAsia" w:cstheme="minorEastAsia"/>
          <w:color w:val="auto"/>
          <w:sz w:val="24"/>
          <w:szCs w:val="24"/>
          <w:highlight w:val="none"/>
          <w:lang w:val="en-US" w:eastAsia="zh-CN"/>
        </w:rPr>
        <w:t>柑橘黄龙病（含柑橘木虱）</w:t>
      </w:r>
      <w:r>
        <w:rPr>
          <w:rFonts w:hint="eastAsia" w:asciiTheme="minorEastAsia" w:hAnsiTheme="minorEastAsia" w:eastAsiaTheme="minorEastAsia" w:cstheme="minorEastAsia"/>
          <w:color w:val="auto"/>
          <w:sz w:val="24"/>
          <w:szCs w:val="24"/>
          <w:highlight w:val="none"/>
        </w:rPr>
        <w:t>监测点</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个</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实施监测面积不少于</w:t>
      </w:r>
      <w:r>
        <w:rPr>
          <w:rFonts w:hint="eastAsia" w:asciiTheme="minorEastAsia" w:hAnsiTheme="minorEastAsia" w:eastAsiaTheme="minorEastAsia" w:cstheme="minorEastAsia"/>
          <w:color w:val="auto"/>
          <w:sz w:val="24"/>
          <w:szCs w:val="24"/>
          <w:highlight w:val="none"/>
          <w:lang w:val="en-US" w:eastAsia="zh-CN"/>
        </w:rPr>
        <w:t>0.9333</w:t>
      </w:r>
      <w:r>
        <w:rPr>
          <w:rFonts w:hint="eastAsia" w:asciiTheme="minorEastAsia" w:hAnsiTheme="minorEastAsia" w:eastAsiaTheme="minorEastAsia" w:cstheme="minorEastAsia"/>
          <w:color w:val="auto"/>
          <w:sz w:val="24"/>
          <w:szCs w:val="24"/>
          <w:highlight w:val="none"/>
        </w:rPr>
        <w:t>万亩次。</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）调查关键时期及频次</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柑橘黄龙病</w:t>
      </w:r>
      <w:r>
        <w:rPr>
          <w:rFonts w:hint="eastAsia" w:asciiTheme="minorEastAsia" w:hAnsiTheme="minorEastAsia" w:eastAsiaTheme="minorEastAsia" w:cstheme="minorEastAsia"/>
          <w:color w:val="auto"/>
          <w:sz w:val="24"/>
          <w:szCs w:val="24"/>
          <w:highlight w:val="none"/>
          <w:lang w:val="en-US" w:eastAsia="zh-CN"/>
        </w:rPr>
        <w:t>和柑橘</w:t>
      </w:r>
      <w:r>
        <w:rPr>
          <w:rFonts w:hint="eastAsia" w:asciiTheme="minorEastAsia" w:hAnsiTheme="minorEastAsia" w:eastAsiaTheme="minorEastAsia" w:cstheme="minorEastAsia"/>
          <w:color w:val="auto"/>
          <w:sz w:val="24"/>
          <w:szCs w:val="24"/>
          <w:highlight w:val="none"/>
        </w:rPr>
        <w:t>木虱：重点在</w:t>
      </w:r>
      <w:r>
        <w:rPr>
          <w:rFonts w:hint="eastAsia" w:asciiTheme="minorEastAsia" w:hAnsiTheme="minorEastAsia" w:eastAsiaTheme="minorEastAsia" w:cstheme="minorEastAsia"/>
          <w:color w:val="auto"/>
          <w:sz w:val="24"/>
          <w:szCs w:val="24"/>
          <w:highlight w:val="none"/>
          <w:lang w:val="en-US" w:eastAsia="zh-CN"/>
        </w:rPr>
        <w:t>柑橘新梢抽发的</w:t>
      </w:r>
      <w:r>
        <w:rPr>
          <w:rFonts w:hint="eastAsia" w:asciiTheme="minorEastAsia" w:hAnsiTheme="minorEastAsia" w:eastAsiaTheme="minorEastAsia" w:cstheme="minorEastAsia"/>
          <w:color w:val="auto"/>
          <w:sz w:val="24"/>
          <w:szCs w:val="24"/>
          <w:highlight w:val="none"/>
        </w:rPr>
        <w:t>关键时期调查柑橘黄龙病</w:t>
      </w:r>
      <w:r>
        <w:rPr>
          <w:rFonts w:hint="eastAsia" w:asciiTheme="minorEastAsia" w:hAnsiTheme="minorEastAsia" w:eastAsiaTheme="minorEastAsia" w:cstheme="minorEastAsia"/>
          <w:color w:val="auto"/>
          <w:sz w:val="24"/>
          <w:szCs w:val="24"/>
          <w:highlight w:val="none"/>
          <w:lang w:val="en-US" w:eastAsia="zh-CN"/>
        </w:rPr>
        <w:t>和柑橘</w:t>
      </w:r>
      <w:r>
        <w:rPr>
          <w:rFonts w:hint="eastAsia" w:asciiTheme="minorEastAsia" w:hAnsiTheme="minorEastAsia" w:eastAsiaTheme="minorEastAsia" w:cstheme="minorEastAsia"/>
          <w:color w:val="auto"/>
          <w:sz w:val="24"/>
          <w:szCs w:val="24"/>
          <w:highlight w:val="none"/>
        </w:rPr>
        <w:t>木虱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调查频次：根据作物生育特点，在不同的时期可适当增减调查频次。调查数据及时上报</w:t>
      </w:r>
      <w:r>
        <w:rPr>
          <w:rFonts w:hint="eastAsia" w:asciiTheme="minorEastAsia" w:hAnsiTheme="minorEastAsia" w:eastAsiaTheme="minorEastAsia" w:cstheme="minorEastAsia"/>
          <w:color w:val="auto"/>
          <w:sz w:val="24"/>
          <w:szCs w:val="24"/>
          <w:highlight w:val="none"/>
          <w:lang w:eastAsia="zh-CN"/>
        </w:rPr>
        <w:t>泸县</w:t>
      </w:r>
      <w:r>
        <w:rPr>
          <w:rFonts w:hint="eastAsia" w:asciiTheme="minorEastAsia" w:hAnsiTheme="minorEastAsia" w:eastAsiaTheme="minorEastAsia" w:cstheme="minorEastAsia"/>
          <w:color w:val="auto"/>
          <w:sz w:val="24"/>
          <w:szCs w:val="24"/>
          <w:highlight w:val="none"/>
        </w:rPr>
        <w:t>农业农村局，并不得外传。</w:t>
      </w:r>
    </w:p>
    <w:p>
      <w:pPr>
        <w:pStyle w:val="7"/>
        <w:adjustRightInd w:val="0"/>
        <w:snapToGrid w:val="0"/>
        <w:spacing w:after="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重大</w:t>
      </w:r>
      <w:r>
        <w:rPr>
          <w:rFonts w:hint="eastAsia" w:asciiTheme="minorEastAsia" w:hAnsiTheme="minorEastAsia" w:eastAsiaTheme="minorEastAsia" w:cstheme="minorEastAsia"/>
          <w:b/>
          <w:bCs/>
          <w:color w:val="auto"/>
          <w:sz w:val="24"/>
          <w:szCs w:val="24"/>
          <w:highlight w:val="none"/>
        </w:rPr>
        <w:t>病虫害检测</w:t>
      </w:r>
    </w:p>
    <w:p>
      <w:pPr>
        <w:pStyle w:val="7"/>
        <w:adjustRightInd w:val="0"/>
        <w:snapToGrid w:val="0"/>
        <w:spacing w:after="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采样田间疑似柑橘黄龙病枝条和柑橘木虱进行</w:t>
      </w:r>
      <w:r>
        <w:rPr>
          <w:rFonts w:hint="eastAsia" w:asciiTheme="minorEastAsia" w:hAnsiTheme="minorEastAsia" w:eastAsiaTheme="minorEastAsia" w:cstheme="minorEastAsia"/>
          <w:color w:val="auto"/>
          <w:sz w:val="24"/>
          <w:szCs w:val="24"/>
          <w:highlight w:val="none"/>
        </w:rPr>
        <w:t>柑橘黄龙病</w:t>
      </w:r>
      <w:r>
        <w:rPr>
          <w:rFonts w:hint="eastAsia" w:asciiTheme="minorEastAsia" w:hAnsiTheme="minorEastAsia" w:eastAsiaTheme="minorEastAsia" w:cstheme="minorEastAsia"/>
          <w:color w:val="auto"/>
          <w:sz w:val="24"/>
          <w:szCs w:val="24"/>
          <w:highlight w:val="none"/>
          <w:lang w:val="en-US" w:eastAsia="zh-CN"/>
        </w:rPr>
        <w:t>病菌</w:t>
      </w:r>
      <w:r>
        <w:rPr>
          <w:rFonts w:hint="eastAsia" w:asciiTheme="minorEastAsia" w:hAnsiTheme="minorEastAsia" w:eastAsiaTheme="minorEastAsia" w:cstheme="minorEastAsia"/>
          <w:color w:val="auto"/>
          <w:sz w:val="24"/>
          <w:szCs w:val="24"/>
          <w:highlight w:val="none"/>
          <w:lang w:eastAsia="zh-CN"/>
        </w:rPr>
        <w:t>检测</w:t>
      </w:r>
      <w:r>
        <w:rPr>
          <w:rFonts w:hint="eastAsia" w:asciiTheme="minorEastAsia" w:hAnsiTheme="minorEastAsia" w:eastAsiaTheme="minorEastAsia" w:cstheme="minorEastAsia"/>
          <w:color w:val="auto"/>
          <w:sz w:val="24"/>
          <w:szCs w:val="24"/>
          <w:highlight w:val="none"/>
        </w:rPr>
        <w:t>，采样</w:t>
      </w:r>
      <w:r>
        <w:rPr>
          <w:rFonts w:hint="eastAsia" w:asciiTheme="minorEastAsia" w:hAnsiTheme="minorEastAsia" w:eastAsiaTheme="minorEastAsia" w:cstheme="minorEastAsia"/>
          <w:color w:val="auto"/>
          <w:sz w:val="24"/>
          <w:szCs w:val="24"/>
          <w:highlight w:val="none"/>
          <w:lang w:val="en-US" w:eastAsia="zh-CN"/>
        </w:rPr>
        <w:t>送检按照四川省农业农村厅文件要求（川农植检函〔2024〕32号）开展，采样送检</w:t>
      </w:r>
      <w:r>
        <w:rPr>
          <w:rFonts w:hint="eastAsia" w:asciiTheme="minorEastAsia" w:hAnsiTheme="minorEastAsia" w:eastAsiaTheme="minorEastAsia" w:cstheme="minorEastAsia"/>
          <w:color w:val="auto"/>
          <w:sz w:val="24"/>
          <w:szCs w:val="24"/>
          <w:highlight w:val="none"/>
        </w:rPr>
        <w:t>柑橘黄龙病</w:t>
      </w:r>
      <w:r>
        <w:rPr>
          <w:rFonts w:hint="eastAsia" w:asciiTheme="minorEastAsia" w:hAnsiTheme="minorEastAsia" w:eastAsiaTheme="minorEastAsia" w:cstheme="minorEastAsia"/>
          <w:color w:val="auto"/>
          <w:sz w:val="24"/>
          <w:szCs w:val="24"/>
          <w:highlight w:val="none"/>
          <w:lang w:val="en-US" w:eastAsia="zh-CN"/>
        </w:rPr>
        <w:t>样品</w:t>
      </w:r>
      <w:r>
        <w:rPr>
          <w:rFonts w:hint="eastAsia" w:asciiTheme="minorEastAsia" w:hAnsiTheme="minorEastAsia" w:eastAsiaTheme="minorEastAsia" w:cstheme="minorEastAsia"/>
          <w:color w:val="auto"/>
          <w:sz w:val="24"/>
          <w:szCs w:val="24"/>
          <w:highlight w:val="none"/>
        </w:rPr>
        <w:t>数量不少于</w:t>
      </w:r>
      <w:r>
        <w:rPr>
          <w:rFonts w:hint="eastAsia" w:asciiTheme="minorEastAsia" w:hAnsiTheme="minorEastAsia" w:eastAsiaTheme="minorEastAsia" w:cstheme="minorEastAsia"/>
          <w:color w:val="auto"/>
          <w:sz w:val="24"/>
          <w:szCs w:val="24"/>
          <w:highlight w:val="none"/>
          <w:lang w:val="en-US" w:eastAsia="zh-CN"/>
        </w:rPr>
        <w:t>100</w:t>
      </w:r>
      <w:r>
        <w:rPr>
          <w:rFonts w:hint="eastAsia" w:asciiTheme="minorEastAsia" w:hAnsiTheme="minorEastAsia" w:eastAsiaTheme="minorEastAsia" w:cstheme="minorEastAsia"/>
          <w:color w:val="auto"/>
          <w:sz w:val="24"/>
          <w:szCs w:val="24"/>
          <w:highlight w:val="none"/>
        </w:rPr>
        <w:t>个样，并提供检测报告。</w:t>
      </w:r>
    </w:p>
    <w:p>
      <w:pPr>
        <w:pStyle w:val="7"/>
        <w:adjustRightInd w:val="0"/>
        <w:snapToGrid w:val="0"/>
        <w:spacing w:after="0"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三、商务要求</w:t>
      </w:r>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eastAsia="zh-CN"/>
        </w:rPr>
      </w:pPr>
      <w:bookmarkStart w:id="23" w:name="_Toc30106"/>
      <w:r>
        <w:rPr>
          <w:rFonts w:hint="eastAsia" w:asciiTheme="minorEastAsia" w:hAnsiTheme="minorEastAsia" w:eastAsiaTheme="minorEastAsia" w:cstheme="minorEastAsia"/>
          <w:b w:val="0"/>
          <w:bCs w:val="0"/>
          <w:color w:val="auto"/>
          <w:sz w:val="24"/>
          <w:szCs w:val="24"/>
          <w:highlight w:val="none"/>
        </w:rPr>
        <w:t>1、采购人:</w:t>
      </w:r>
      <w:r>
        <w:rPr>
          <w:rFonts w:hint="eastAsia" w:asciiTheme="minorEastAsia" w:hAnsiTheme="minorEastAsia" w:eastAsiaTheme="minorEastAsia" w:cstheme="minorEastAsia"/>
          <w:b w:val="0"/>
          <w:bCs w:val="0"/>
          <w:color w:val="auto"/>
          <w:sz w:val="24"/>
          <w:szCs w:val="24"/>
          <w:highlight w:val="none"/>
          <w:lang w:eastAsia="zh-CN"/>
        </w:rPr>
        <w:t>泸县</w:t>
      </w:r>
      <w:r>
        <w:rPr>
          <w:rFonts w:hint="eastAsia" w:asciiTheme="minorEastAsia" w:hAnsiTheme="minorEastAsia" w:eastAsiaTheme="minorEastAsia" w:cstheme="minorEastAsia"/>
          <w:b w:val="0"/>
          <w:bCs w:val="0"/>
          <w:color w:val="auto"/>
          <w:sz w:val="24"/>
          <w:szCs w:val="24"/>
          <w:highlight w:val="none"/>
        </w:rPr>
        <w:t>农业农村局</w:t>
      </w:r>
      <w:r>
        <w:rPr>
          <w:rFonts w:hint="eastAsia" w:asciiTheme="minorEastAsia" w:hAnsiTheme="minorEastAsia" w:eastAsiaTheme="minorEastAsia" w:cstheme="minorEastAsia"/>
          <w:b w:val="0"/>
          <w:bCs w:val="0"/>
          <w:color w:val="auto"/>
          <w:sz w:val="24"/>
          <w:szCs w:val="24"/>
          <w:highlight w:val="none"/>
          <w:lang w:eastAsia="zh-CN"/>
        </w:rPr>
        <w:t>。</w:t>
      </w:r>
      <w:bookmarkEnd w:id="23"/>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eastAsia="zh-CN"/>
        </w:rPr>
      </w:pPr>
      <w:bookmarkStart w:id="24" w:name="_Toc524"/>
      <w:r>
        <w:rPr>
          <w:rFonts w:hint="eastAsia" w:asciiTheme="minorEastAsia" w:hAnsiTheme="minorEastAsia" w:eastAsiaTheme="minorEastAsia" w:cstheme="minorEastAsia"/>
          <w:b w:val="0"/>
          <w:bCs w:val="0"/>
          <w:color w:val="auto"/>
          <w:sz w:val="24"/>
          <w:szCs w:val="24"/>
          <w:highlight w:val="none"/>
        </w:rPr>
        <w:t>2、项目服务地点:</w:t>
      </w:r>
      <w:r>
        <w:rPr>
          <w:rFonts w:hint="eastAsia" w:asciiTheme="minorEastAsia" w:hAnsiTheme="minorEastAsia" w:eastAsiaTheme="minorEastAsia" w:cstheme="minorEastAsia"/>
          <w:b w:val="0"/>
          <w:bCs w:val="0"/>
          <w:color w:val="auto"/>
          <w:sz w:val="24"/>
          <w:szCs w:val="24"/>
          <w:highlight w:val="none"/>
          <w:lang w:eastAsia="zh-CN"/>
        </w:rPr>
        <w:t>采购人指定地点。</w:t>
      </w:r>
      <w:bookmarkEnd w:id="24"/>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bookmarkStart w:id="25" w:name="_Toc26506"/>
      <w:r>
        <w:rPr>
          <w:rFonts w:hint="eastAsia" w:asciiTheme="minorEastAsia" w:hAnsiTheme="minorEastAsia" w:eastAsiaTheme="minorEastAsia" w:cstheme="minorEastAsia"/>
          <w:b w:val="0"/>
          <w:bCs w:val="0"/>
          <w:color w:val="auto"/>
          <w:sz w:val="24"/>
          <w:szCs w:val="24"/>
          <w:highlight w:val="none"/>
        </w:rPr>
        <w:t>3、服务</w:t>
      </w:r>
      <w:r>
        <w:rPr>
          <w:rFonts w:hint="eastAsia" w:asciiTheme="minorEastAsia" w:hAnsiTheme="minorEastAsia" w:eastAsiaTheme="minorEastAsia" w:cstheme="minorEastAsia"/>
          <w:b w:val="0"/>
          <w:bCs w:val="0"/>
          <w:color w:val="auto"/>
          <w:sz w:val="24"/>
          <w:szCs w:val="24"/>
          <w:highlight w:val="none"/>
          <w:lang w:val="en-US" w:eastAsia="zh-CN"/>
        </w:rPr>
        <w:t>期限</w:t>
      </w:r>
      <w:r>
        <w:rPr>
          <w:rFonts w:hint="eastAsia" w:asciiTheme="minorEastAsia" w:hAnsiTheme="minorEastAsia" w:eastAsiaTheme="minorEastAsia" w:cstheme="minorEastAsia"/>
          <w:b w:val="0"/>
          <w:bCs w:val="0"/>
          <w:color w:val="auto"/>
          <w:sz w:val="24"/>
          <w:szCs w:val="24"/>
          <w:highlight w:val="none"/>
        </w:rPr>
        <w:t>:合同签订后至</w:t>
      </w:r>
      <w:r>
        <w:rPr>
          <w:rFonts w:hint="eastAsia" w:asciiTheme="minorEastAsia" w:hAnsiTheme="minorEastAsia" w:eastAsiaTheme="minorEastAsia" w:cstheme="minorEastAsia"/>
          <w:b w:val="0"/>
          <w:bCs w:val="0"/>
          <w:color w:val="auto"/>
          <w:sz w:val="24"/>
          <w:szCs w:val="24"/>
          <w:highlight w:val="none"/>
          <w:lang w:eastAsia="zh-CN"/>
        </w:rPr>
        <w:t>202</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年</w:t>
      </w:r>
      <w:r>
        <w:rPr>
          <w:rFonts w:hint="eastAsia" w:asciiTheme="minorEastAsia" w:hAnsiTheme="minorEastAsia" w:eastAsiaTheme="minorEastAsia" w:cstheme="minorEastAsia"/>
          <w:b w:val="0"/>
          <w:bCs w:val="0"/>
          <w:color w:val="auto"/>
          <w:sz w:val="24"/>
          <w:szCs w:val="24"/>
          <w:highlight w:val="none"/>
          <w:lang w:val="en-US" w:eastAsia="zh-CN"/>
        </w:rPr>
        <w:t>10</w:t>
      </w:r>
      <w:r>
        <w:rPr>
          <w:rFonts w:hint="eastAsia" w:asciiTheme="minorEastAsia" w:hAnsiTheme="minorEastAsia" w:eastAsiaTheme="minorEastAsia" w:cstheme="minorEastAsia"/>
          <w:b w:val="0"/>
          <w:bCs w:val="0"/>
          <w:color w:val="auto"/>
          <w:sz w:val="24"/>
          <w:szCs w:val="24"/>
          <w:highlight w:val="none"/>
        </w:rPr>
        <w:t>月</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日前。</w:t>
      </w:r>
      <w:bookmarkEnd w:id="25"/>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bookmarkStart w:id="26" w:name="_Toc25601"/>
      <w:r>
        <w:rPr>
          <w:rFonts w:hint="eastAsia" w:asciiTheme="minorEastAsia" w:hAnsiTheme="minorEastAsia" w:eastAsiaTheme="minorEastAsia" w:cstheme="minorEastAsia"/>
          <w:b w:val="0"/>
          <w:bCs w:val="0"/>
          <w:color w:val="auto"/>
          <w:sz w:val="24"/>
          <w:szCs w:val="24"/>
          <w:highlight w:val="none"/>
        </w:rPr>
        <w:t>4、服务费支付方式:与采购人在签订合同时自行约定。</w:t>
      </w:r>
      <w:bookmarkEnd w:id="26"/>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bookmarkStart w:id="27" w:name="_Toc16245"/>
      <w:r>
        <w:rPr>
          <w:rFonts w:hint="eastAsia" w:asciiTheme="minorEastAsia" w:hAnsiTheme="minorEastAsia" w:eastAsiaTheme="minorEastAsia" w:cstheme="minorEastAsia"/>
          <w:b w:val="0"/>
          <w:bCs w:val="0"/>
          <w:color w:val="auto"/>
          <w:sz w:val="24"/>
          <w:szCs w:val="24"/>
          <w:highlight w:val="none"/>
        </w:rPr>
        <w:t>5、知识产权：采购人在中华人民共和国境内使用供应商提供的货物及服务时免受第三方提出的侵犯其专利或其它知识产权的起诉。如果第三方提出侵权指控，成交供应商应承担由此而引起的一切法律责任和费用。</w:t>
      </w:r>
      <w:bookmarkEnd w:id="27"/>
    </w:p>
    <w:p>
      <w:pPr>
        <w:pStyle w:val="17"/>
        <w:adjustRightInd w:val="0"/>
        <w:snapToGrid w:val="0"/>
        <w:spacing w:before="0" w:after="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bookmarkStart w:id="28" w:name="_Toc29564"/>
      <w:r>
        <w:rPr>
          <w:rFonts w:hint="eastAsia" w:asciiTheme="minorEastAsia" w:hAnsiTheme="minorEastAsia" w:eastAsiaTheme="minorEastAsia" w:cstheme="minorEastAsia"/>
          <w:b w:val="0"/>
          <w:bCs w:val="0"/>
          <w:color w:val="auto"/>
          <w:sz w:val="24"/>
          <w:szCs w:val="24"/>
          <w:highlight w:val="none"/>
        </w:rPr>
        <w:t>6、其它要求:其它未尽事宜由供需双方协商约定。</w:t>
      </w:r>
      <w:bookmarkEnd w:id="28"/>
    </w:p>
    <w:p>
      <w:pPr>
        <w:rPr>
          <w:color w:val="auto"/>
          <w:highlight w:val="none"/>
        </w:rPr>
      </w:pPr>
    </w:p>
    <w:p>
      <w:pPr>
        <w:pStyle w:val="17"/>
        <w:rPr>
          <w:color w:val="auto"/>
          <w:szCs w:val="36"/>
          <w:highlight w:val="none"/>
        </w:rPr>
      </w:pPr>
    </w:p>
    <w:p>
      <w:pPr>
        <w:pStyle w:val="17"/>
        <w:rPr>
          <w:color w:val="auto"/>
          <w:szCs w:val="36"/>
          <w:highlight w:val="none"/>
        </w:rPr>
      </w:pPr>
    </w:p>
    <w:p>
      <w:pPr>
        <w:widowControl/>
        <w:jc w:val="left"/>
        <w:rPr>
          <w:rFonts w:asciiTheme="majorHAnsi" w:hAnsiTheme="majorHAnsi" w:cstheme="majorBidi"/>
          <w:b/>
          <w:bCs/>
          <w:color w:val="auto"/>
          <w:sz w:val="36"/>
          <w:szCs w:val="36"/>
          <w:highlight w:val="none"/>
        </w:rPr>
      </w:pPr>
      <w:r>
        <w:rPr>
          <w:color w:val="auto"/>
          <w:szCs w:val="36"/>
          <w:highlight w:val="none"/>
        </w:rPr>
        <w:br w:type="page"/>
      </w:r>
    </w:p>
    <w:p>
      <w:pPr>
        <w:pStyle w:val="17"/>
        <w:rPr>
          <w:color w:val="auto"/>
          <w:szCs w:val="36"/>
          <w:highlight w:val="none"/>
        </w:rPr>
      </w:pPr>
      <w:bookmarkStart w:id="29" w:name="_Toc6509"/>
      <w:r>
        <w:rPr>
          <w:rFonts w:hint="eastAsia"/>
          <w:color w:val="auto"/>
          <w:szCs w:val="36"/>
          <w:highlight w:val="none"/>
        </w:rPr>
        <w:t>第四章  评审办法</w:t>
      </w:r>
      <w:bookmarkEnd w:id="21"/>
      <w:bookmarkEnd w:id="22"/>
      <w:bookmarkEnd w:id="29"/>
    </w:p>
    <w:p>
      <w:pPr>
        <w:spacing w:line="5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一、评审委员会:</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1、评审委员会与评选</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1.1评审委员会由采购人依法组建。</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1.2评审采用保密方式进行。</w:t>
      </w:r>
    </w:p>
    <w:p>
      <w:pPr>
        <w:spacing w:line="5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二、评审过程的保密：</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1、凡属于对响应文件的审查、澄清、评价和比较的有关资料以及中选候选人的推荐情况，与采购有关的其他任何情况均严格保密。</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2、中标候选人确定后，采购不对未中选人就评标过程以及未能中标原因作出任何解释。未中选人不得向评标委员会组成人员或者其他有关人员索问评标过程的情况和材料。</w:t>
      </w:r>
    </w:p>
    <w:p>
      <w:pPr>
        <w:spacing w:line="5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三、评审程序：</w:t>
      </w: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1、评审小组首先对参选人进行资格性和符合性评审（标准详见附件资格性和符合性审查必要合格条件标准），评审结果为“通过”和“不通过”。只有通过资格性符合性评审合格的参选人方能进入详细评审。</w:t>
      </w:r>
    </w:p>
    <w:p>
      <w:pPr>
        <w:pStyle w:val="15"/>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2、评审小组根据参选人提供的响应文件进行审查，通过资格性符合性审查且有效报价最低的参选人为中选人</w:t>
      </w:r>
      <w:r>
        <w:rPr>
          <w:rFonts w:hint="eastAsia" w:ascii="宋体" w:hAnsi="宋体" w:cs="宋体"/>
          <w:b w:val="0"/>
          <w:bCs w:val="0"/>
          <w:color w:val="auto"/>
          <w:sz w:val="24"/>
          <w:szCs w:val="24"/>
          <w:highlight w:val="none"/>
          <w:lang w:eastAsia="zh-CN"/>
        </w:rPr>
        <w:t>。</w:t>
      </w:r>
    </w:p>
    <w:p>
      <w:pPr>
        <w:pStyle w:val="15"/>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如果出现报价相同且同为最低价的情况，进行二次报价，如再次出现相同报价，采取抽签决定拟定供应商。</w:t>
      </w:r>
    </w:p>
    <w:p>
      <w:pPr>
        <w:pStyle w:val="15"/>
        <w:spacing w:line="360" w:lineRule="auto"/>
        <w:rPr>
          <w:b w:val="0"/>
          <w:bCs w:val="0"/>
          <w:color w:val="auto"/>
          <w:highlight w:val="none"/>
        </w:rPr>
      </w:pPr>
    </w:p>
    <w:p>
      <w:pPr>
        <w:pStyle w:val="15"/>
        <w:rPr>
          <w:rFonts w:ascii="宋体" w:hAnsi="宋体" w:cs="宋体"/>
          <w:color w:val="auto"/>
          <w:sz w:val="24"/>
          <w:szCs w:val="24"/>
          <w:highlight w:val="none"/>
        </w:rPr>
      </w:pPr>
    </w:p>
    <w:p>
      <w:pPr>
        <w:rPr>
          <w:rFonts w:ascii="宋体" w:hAnsi="宋体" w:cs="宋体"/>
          <w:color w:val="auto"/>
          <w:sz w:val="24"/>
          <w:szCs w:val="24"/>
          <w:highlight w:val="none"/>
        </w:rPr>
      </w:pPr>
    </w:p>
    <w:p>
      <w:pPr>
        <w:pStyle w:val="15"/>
        <w:rPr>
          <w:rFonts w:ascii="宋体" w:hAnsi="宋体" w:cs="宋体"/>
          <w:color w:val="auto"/>
          <w:sz w:val="24"/>
          <w:szCs w:val="24"/>
          <w:highlight w:val="none"/>
        </w:rPr>
      </w:pPr>
    </w:p>
    <w:p>
      <w:pPr>
        <w:rPr>
          <w:rFonts w:ascii="宋体" w:hAnsi="宋体" w:cs="宋体"/>
          <w:color w:val="auto"/>
          <w:sz w:val="24"/>
          <w:szCs w:val="24"/>
          <w:highlight w:val="none"/>
        </w:rPr>
      </w:pPr>
    </w:p>
    <w:p>
      <w:pPr>
        <w:pStyle w:val="15"/>
        <w:rPr>
          <w:rFonts w:ascii="宋体" w:hAnsi="宋体" w:cs="宋体"/>
          <w:color w:val="auto"/>
          <w:sz w:val="24"/>
          <w:szCs w:val="24"/>
          <w:highlight w:val="none"/>
        </w:rPr>
      </w:pPr>
    </w:p>
    <w:p>
      <w:pPr>
        <w:rPr>
          <w:rFonts w:ascii="宋体" w:hAnsi="宋体" w:cs="宋体"/>
          <w:color w:val="auto"/>
          <w:sz w:val="24"/>
          <w:szCs w:val="24"/>
          <w:highlight w:val="none"/>
        </w:rPr>
      </w:pPr>
    </w:p>
    <w:p>
      <w:pPr>
        <w:pStyle w:val="15"/>
        <w:rPr>
          <w:rFonts w:ascii="宋体" w:hAnsi="宋体" w:cs="宋体"/>
          <w:color w:val="auto"/>
          <w:sz w:val="24"/>
          <w:szCs w:val="24"/>
          <w:highlight w:val="none"/>
        </w:rPr>
      </w:pPr>
    </w:p>
    <w:p>
      <w:pPr>
        <w:rPr>
          <w:color w:val="auto"/>
          <w:highlight w:val="none"/>
        </w:rPr>
      </w:pPr>
    </w:p>
    <w:p>
      <w:pPr>
        <w:spacing w:line="5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附件1</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资格性审查必要合格条件标准</w:t>
      </w:r>
    </w:p>
    <w:tbl>
      <w:tblPr>
        <w:tblStyle w:val="21"/>
        <w:tblW w:w="9885"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667"/>
        <w:gridCol w:w="1998"/>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5667"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c>
          <w:tcPr>
            <w:tcW w:w="1998"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资格性审查意见</w:t>
            </w:r>
          </w:p>
        </w:tc>
        <w:tc>
          <w:tcPr>
            <w:tcW w:w="139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667" w:type="dxa"/>
          </w:tcPr>
          <w:p>
            <w:pPr>
              <w:spacing w:line="500" w:lineRule="exact"/>
              <w:jc w:val="left"/>
              <w:rPr>
                <w:rFonts w:ascii="宋体" w:hAnsi="宋体" w:cs="宋体"/>
                <w:color w:val="auto"/>
                <w:sz w:val="24"/>
                <w:szCs w:val="24"/>
                <w:highlight w:val="none"/>
              </w:rPr>
            </w:pPr>
            <w:r>
              <w:rPr>
                <w:rFonts w:hint="eastAsia"/>
                <w:color w:val="auto"/>
                <w:szCs w:val="21"/>
                <w:highlight w:val="none"/>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667" w:type="dxa"/>
          </w:tcPr>
          <w:p>
            <w:pPr>
              <w:spacing w:line="500" w:lineRule="exact"/>
              <w:jc w:val="left"/>
              <w:rPr>
                <w:rFonts w:ascii="宋体" w:hAnsi="宋体" w:cs="宋体"/>
                <w:color w:val="auto"/>
                <w:sz w:val="24"/>
                <w:szCs w:val="24"/>
                <w:highlight w:val="none"/>
              </w:rPr>
            </w:pPr>
            <w:r>
              <w:rPr>
                <w:rFonts w:hint="eastAsia"/>
                <w:color w:val="auto"/>
                <w:szCs w:val="21"/>
                <w:highlight w:val="none"/>
              </w:rPr>
              <w:t>具备良好商业信誉的证明材料（提供承诺函原件，格式详见第五章八、承诺函）；</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667" w:type="dxa"/>
          </w:tcPr>
          <w:p>
            <w:pPr>
              <w:pStyle w:val="43"/>
              <w:spacing w:before="156" w:beforeLines="50" w:after="156" w:afterLines="50" w:line="400" w:lineRule="exact"/>
              <w:ind w:firstLine="0" w:firstLineChars="0"/>
              <w:rPr>
                <w:rFonts w:ascii="宋体" w:hAnsi="宋体" w:cs="宋体"/>
                <w:color w:val="auto"/>
                <w:sz w:val="24"/>
                <w:szCs w:val="24"/>
                <w:highlight w:val="none"/>
              </w:rPr>
            </w:pPr>
            <w:r>
              <w:rPr>
                <w:rFonts w:hint="eastAsia" w:ascii="宋体" w:hAnsi="宋体" w:cs="宋体"/>
                <w:color w:val="auto"/>
                <w:szCs w:val="21"/>
                <w:highlight w:val="none"/>
              </w:rPr>
              <w:t>具备健全的财务会计制度的证明材料。｛注：①可提供202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2或2023</w:t>
            </w:r>
            <w:r>
              <w:rPr>
                <w:rFonts w:hint="eastAsia" w:ascii="宋体" w:hAnsi="宋体" w:cs="宋体"/>
                <w:color w:val="auto"/>
                <w:szCs w:val="21"/>
                <w:highlight w:val="none"/>
              </w:rPr>
              <w:t>年任意年度经审计的财务报告复印件；②也可提供202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2或2023</w:t>
            </w:r>
            <w:r>
              <w:rPr>
                <w:rFonts w:hint="eastAsia" w:ascii="宋体" w:hAnsi="宋体" w:cs="宋体"/>
                <w:color w:val="auto"/>
                <w:szCs w:val="21"/>
                <w:highlight w:val="none"/>
              </w:rPr>
              <w:t>年任意年度供应商内部的财务报表复印件（至少包含资产负债表）；③也可提供投标文件递交截止日前一年内银行出具的有效资信证明；④供应商注册时间距投标文件递交截止日不足一年的，提供成立后任意时段的资产负债表复印件；</w:t>
            </w:r>
            <w:r>
              <w:rPr>
                <w:rFonts w:hint="eastAsia"/>
                <w:color w:val="auto"/>
                <w:szCs w:val="21"/>
                <w:highlight w:val="none"/>
              </w:rPr>
              <w:t>⑤也可提供承诺函原件，格式详见第五章八、承诺函｝</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667" w:type="dxa"/>
          </w:tcPr>
          <w:p>
            <w:pPr>
              <w:spacing w:line="500" w:lineRule="exact"/>
              <w:jc w:val="left"/>
              <w:rPr>
                <w:rFonts w:ascii="宋体" w:hAnsi="宋体" w:cs="宋体"/>
                <w:color w:val="auto"/>
                <w:sz w:val="24"/>
                <w:szCs w:val="24"/>
                <w:highlight w:val="none"/>
              </w:rPr>
            </w:pPr>
            <w:r>
              <w:rPr>
                <w:rFonts w:hint="eastAsia"/>
                <w:color w:val="auto"/>
                <w:szCs w:val="21"/>
                <w:highlight w:val="none"/>
              </w:rPr>
              <w:t>具有依法缴纳税收和社会保障资金良好记录的证明材料。｛注：①（202</w:t>
            </w:r>
            <w:r>
              <w:rPr>
                <w:rFonts w:hint="eastAsia"/>
                <w:color w:val="auto"/>
                <w:szCs w:val="21"/>
                <w:highlight w:val="none"/>
                <w:lang w:val="en-US" w:eastAsia="zh-CN"/>
              </w:rPr>
              <w:t>3</w:t>
            </w:r>
            <w:r>
              <w:rPr>
                <w:rFonts w:hint="eastAsia"/>
                <w:color w:val="auto"/>
                <w:szCs w:val="21"/>
                <w:highlight w:val="none"/>
              </w:rPr>
              <w:t>年1月1日至今任意三个月缴纳社保和税收的证明材料（税收提供税务部门开具的收据或网银转账回执单等有效证明材料；社保资金提供社保部门开具的收据、网银转账回执单或社保部门出具的已缴费证明等有效证明材料。依法免税或不需要缴纳社会保障资金的供应商，应提供相应文件证明其依法免税或不需要缴纳社会保障资金）；②也可提供承诺函原件，格式详见第五章八、承诺函｝</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5667" w:type="dxa"/>
          </w:tcPr>
          <w:p>
            <w:pPr>
              <w:spacing w:line="500" w:lineRule="exact"/>
              <w:jc w:val="left"/>
              <w:rPr>
                <w:rFonts w:ascii="宋体" w:hAnsi="宋体" w:cs="宋体"/>
                <w:color w:val="auto"/>
                <w:szCs w:val="21"/>
                <w:highlight w:val="none"/>
              </w:rPr>
            </w:pPr>
            <w:r>
              <w:rPr>
                <w:rFonts w:hint="eastAsia"/>
                <w:color w:val="auto"/>
                <w:szCs w:val="21"/>
                <w:highlight w:val="none"/>
              </w:rPr>
              <w:t>具备履行合同所必需的设备和专业技术能力的证明材料（可提供承诺函原件，格式详见第五章八、承诺函）；</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5667" w:type="dxa"/>
          </w:tcPr>
          <w:p>
            <w:pPr>
              <w:pStyle w:val="43"/>
              <w:spacing w:before="156" w:beforeLines="50" w:after="156" w:afterLines="50" w:line="400" w:lineRule="exact"/>
              <w:ind w:firstLine="0" w:firstLineChars="0"/>
              <w:rPr>
                <w:color w:val="auto"/>
                <w:szCs w:val="21"/>
                <w:highlight w:val="none"/>
              </w:rPr>
            </w:pPr>
            <w:r>
              <w:rPr>
                <w:rFonts w:hint="eastAsia"/>
                <w:color w:val="auto"/>
                <w:szCs w:val="21"/>
                <w:highlight w:val="none"/>
              </w:rPr>
              <w:t>参加采购活动前三年内在经营活动中没有重大违法记录的承诺函（可提供承诺函原件，格式详见第五章八、承诺函）；</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5667" w:type="dxa"/>
          </w:tcPr>
          <w:p>
            <w:pPr>
              <w:pStyle w:val="43"/>
              <w:spacing w:before="156" w:beforeLines="50" w:after="156" w:afterLines="50" w:line="400" w:lineRule="exact"/>
              <w:ind w:firstLine="0" w:firstLineChars="0"/>
              <w:rPr>
                <w:color w:val="auto"/>
                <w:szCs w:val="21"/>
                <w:highlight w:val="none"/>
              </w:rPr>
            </w:pPr>
            <w:r>
              <w:rPr>
                <w:rFonts w:hint="eastAsia" w:ascii="宋体" w:hAnsi="宋体" w:cs="宋体"/>
                <w:color w:val="auto"/>
                <w:szCs w:val="21"/>
                <w:highlight w:val="none"/>
              </w:rPr>
              <w:t>根据采购项目提出的特殊条件：无。</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92" w:type="dxa"/>
            <w:gridSpan w:val="2"/>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结论</w:t>
            </w:r>
          </w:p>
        </w:tc>
        <w:tc>
          <w:tcPr>
            <w:tcW w:w="1998" w:type="dxa"/>
          </w:tcPr>
          <w:p>
            <w:pPr>
              <w:spacing w:line="500" w:lineRule="exact"/>
              <w:jc w:val="left"/>
              <w:rPr>
                <w:rFonts w:ascii="宋体" w:hAnsi="宋体" w:cs="宋体"/>
                <w:color w:val="auto"/>
                <w:sz w:val="24"/>
                <w:szCs w:val="24"/>
                <w:highlight w:val="none"/>
              </w:rPr>
            </w:pPr>
          </w:p>
        </w:tc>
        <w:tc>
          <w:tcPr>
            <w:tcW w:w="1395"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885" w:type="dxa"/>
            <w:gridSpan w:val="4"/>
          </w:tcPr>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注：表格中“√”为合格，“×”为不合格，评审结果分“通过”和“不通过”；有任意一个“×”，表示结论为“不通过”。在评审过程中符合要求的供应商（社会资本）</w:t>
            </w:r>
            <w:r>
              <w:rPr>
                <w:rFonts w:hint="eastAsia" w:ascii="宋体" w:hAnsi="宋体" w:cs="宋体"/>
                <w:color w:val="auto"/>
                <w:sz w:val="24"/>
                <w:szCs w:val="24"/>
                <w:highlight w:val="none"/>
                <w:lang w:eastAsia="zh-CN"/>
              </w:rPr>
              <w:t>满足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家的，采购活动可以继续进行。</w:t>
            </w:r>
          </w:p>
        </w:tc>
      </w:tr>
    </w:tbl>
    <w:p>
      <w:pPr>
        <w:spacing w:line="5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附件2</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符合性审查必要合格条件标准</w:t>
      </w:r>
    </w:p>
    <w:tbl>
      <w:tblPr>
        <w:tblStyle w:val="21"/>
        <w:tblW w:w="9870"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966"/>
        <w:gridCol w:w="191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966"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c>
          <w:tcPr>
            <w:tcW w:w="1914"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符合性审查意见</w:t>
            </w:r>
          </w:p>
        </w:tc>
        <w:tc>
          <w:tcPr>
            <w:tcW w:w="215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96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投标文件数量是否符合招标文件要求</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96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投标报价是否超过采购预算</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96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法定代表人授权委托书签字盖章是否齐全</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96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投标文件是否存在重大偏离</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96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投标报价低于采购预算的50%做无效投标处理</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6" w:type="dxa"/>
            <w:gridSpan w:val="2"/>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结论</w:t>
            </w:r>
          </w:p>
        </w:tc>
        <w:tc>
          <w:tcPr>
            <w:tcW w:w="1914" w:type="dxa"/>
          </w:tcPr>
          <w:p>
            <w:pPr>
              <w:spacing w:line="500" w:lineRule="exact"/>
              <w:jc w:val="left"/>
              <w:rPr>
                <w:rFonts w:ascii="宋体" w:hAnsi="宋体" w:cs="宋体"/>
                <w:color w:val="auto"/>
                <w:sz w:val="24"/>
                <w:szCs w:val="24"/>
                <w:highlight w:val="none"/>
              </w:rPr>
            </w:pPr>
          </w:p>
        </w:tc>
        <w:tc>
          <w:tcPr>
            <w:tcW w:w="2150" w:type="dxa"/>
          </w:tcPr>
          <w:p>
            <w:pPr>
              <w:spacing w:line="5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9870" w:type="dxa"/>
            <w:gridSpan w:val="4"/>
          </w:tcPr>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注：表格中“√”为合格，“×”为不合格，评审结果分“通过”和“不通过”；有任意一个“×”，表示结论为“不通过”。</w:t>
            </w:r>
          </w:p>
        </w:tc>
      </w:tr>
    </w:tbl>
    <w:p>
      <w:pPr>
        <w:pStyle w:val="15"/>
        <w:rPr>
          <w:color w:val="auto"/>
          <w:highlight w:val="none"/>
        </w:rPr>
      </w:pPr>
    </w:p>
    <w:p>
      <w:pPr>
        <w:rPr>
          <w:color w:val="auto"/>
          <w:highlight w:val="none"/>
        </w:rPr>
      </w:pPr>
    </w:p>
    <w:p>
      <w:pPr>
        <w:pStyle w:val="15"/>
        <w:rPr>
          <w:color w:val="auto"/>
          <w:highlight w:val="none"/>
        </w:rPr>
      </w:pPr>
    </w:p>
    <w:p>
      <w:pPr>
        <w:rPr>
          <w:color w:val="auto"/>
          <w:highlight w:val="none"/>
        </w:rPr>
      </w:pPr>
    </w:p>
    <w:p>
      <w:pPr>
        <w:pStyle w:val="15"/>
        <w:rPr>
          <w:color w:val="auto"/>
          <w:highlight w:val="none"/>
        </w:rPr>
      </w:pPr>
    </w:p>
    <w:p>
      <w:pPr>
        <w:rPr>
          <w:color w:val="auto"/>
          <w:highlight w:val="none"/>
        </w:rPr>
      </w:pPr>
    </w:p>
    <w:p>
      <w:pPr>
        <w:bidi w:val="0"/>
        <w:rPr>
          <w:color w:val="auto"/>
          <w:highlight w:val="none"/>
        </w:rPr>
      </w:pPr>
    </w:p>
    <w:p>
      <w:pPr>
        <w:rPr>
          <w:color w:val="auto"/>
          <w:highlight w:val="none"/>
        </w:rPr>
      </w:pPr>
    </w:p>
    <w:p>
      <w:pPr>
        <w:pStyle w:val="17"/>
        <w:ind w:firstLine="2168" w:firstLineChars="600"/>
        <w:jc w:val="both"/>
        <w:rPr>
          <w:color w:val="auto"/>
          <w:highlight w:val="none"/>
        </w:rPr>
      </w:pPr>
      <w:bookmarkStart w:id="30" w:name="_Toc25081"/>
      <w:bookmarkStart w:id="31" w:name="_Toc21344"/>
      <w:bookmarkStart w:id="32" w:name="_Toc527444255"/>
      <w:r>
        <w:rPr>
          <w:rFonts w:hint="eastAsia"/>
          <w:color w:val="auto"/>
          <w:highlight w:val="none"/>
        </w:rPr>
        <w:t>第五章 响应文件格式</w:t>
      </w:r>
      <w:bookmarkEnd w:id="30"/>
      <w:bookmarkEnd w:id="31"/>
    </w:p>
    <w:p>
      <w:pPr>
        <w:pStyle w:val="17"/>
        <w:jc w:val="left"/>
        <w:rPr>
          <w:color w:val="auto"/>
          <w:highlight w:val="none"/>
        </w:rPr>
      </w:pPr>
      <w:bookmarkStart w:id="33" w:name="_Toc6118"/>
      <w:bookmarkStart w:id="34" w:name="_Toc19361"/>
      <w:r>
        <w:rPr>
          <w:rFonts w:hint="eastAsia"/>
          <w:color w:val="auto"/>
          <w:highlight w:val="none"/>
        </w:rPr>
        <w:t>格式1-1</w:t>
      </w:r>
      <w:bookmarkEnd w:id="33"/>
      <w:bookmarkEnd w:id="34"/>
    </w:p>
    <w:p>
      <w:pPr>
        <w:ind w:firstLine="3313" w:firstLineChars="1100"/>
        <w:rPr>
          <w:b/>
          <w:bCs/>
          <w:color w:val="auto"/>
          <w:sz w:val="30"/>
          <w:szCs w:val="30"/>
          <w:highlight w:val="none"/>
        </w:rPr>
      </w:pPr>
      <w:r>
        <w:rPr>
          <w:rFonts w:hint="eastAsia"/>
          <w:b/>
          <w:bCs/>
          <w:color w:val="auto"/>
          <w:sz w:val="30"/>
          <w:szCs w:val="30"/>
          <w:highlight w:val="none"/>
        </w:rPr>
        <w:t>封面格式</w:t>
      </w:r>
    </w:p>
    <w:p>
      <w:pPr>
        <w:pStyle w:val="15"/>
        <w:rPr>
          <w:color w:val="auto"/>
          <w:highlight w:val="none"/>
        </w:rPr>
      </w:pPr>
    </w:p>
    <w:p>
      <w:pPr>
        <w:jc w:val="center"/>
        <w:rPr>
          <w:rFonts w:ascii="宋体" w:hAnsi="宋体"/>
          <w:color w:val="auto"/>
          <w:sz w:val="36"/>
          <w:szCs w:val="36"/>
          <w:highlight w:val="none"/>
        </w:rPr>
      </w:pPr>
      <w:r>
        <w:rPr>
          <w:rFonts w:hint="eastAsia" w:ascii="宋体" w:hAnsi="宋体"/>
          <w:color w:val="auto"/>
          <w:sz w:val="36"/>
          <w:szCs w:val="36"/>
          <w:highlight w:val="none"/>
        </w:rPr>
        <w:t>项目名称：</w:t>
      </w:r>
    </w:p>
    <w:p>
      <w:pPr>
        <w:jc w:val="center"/>
        <w:rPr>
          <w:rFonts w:ascii="宋体" w:hAnsi="宋体"/>
          <w:b/>
          <w:color w:val="auto"/>
          <w:sz w:val="44"/>
          <w:szCs w:val="44"/>
          <w:highlight w:val="none"/>
        </w:rPr>
      </w:pPr>
    </w:p>
    <w:p>
      <w:pPr>
        <w:spacing w:line="1200" w:lineRule="exact"/>
        <w:jc w:val="center"/>
        <w:rPr>
          <w:rFonts w:hint="eastAsia" w:ascii="宋体" w:hAnsi="宋体"/>
          <w:b/>
          <w:color w:val="auto"/>
          <w:sz w:val="52"/>
          <w:szCs w:val="52"/>
          <w:highlight w:val="none"/>
          <w:lang w:val="en-US" w:eastAsia="zh-CN"/>
        </w:rPr>
      </w:pPr>
      <w:r>
        <w:rPr>
          <w:rFonts w:hint="eastAsia" w:ascii="宋体" w:hAnsi="宋体"/>
          <w:b/>
          <w:color w:val="auto"/>
          <w:sz w:val="52"/>
          <w:szCs w:val="52"/>
          <w:highlight w:val="none"/>
          <w:lang w:val="en-US" w:eastAsia="zh-CN"/>
        </w:rPr>
        <w:t>响</w:t>
      </w:r>
    </w:p>
    <w:p>
      <w:pPr>
        <w:spacing w:line="1200" w:lineRule="exact"/>
        <w:jc w:val="center"/>
        <w:rPr>
          <w:rFonts w:hint="default"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应</w:t>
      </w: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文</w:t>
      </w:r>
    </w:p>
    <w:p>
      <w:pPr>
        <w:spacing w:line="1200" w:lineRule="exact"/>
        <w:jc w:val="center"/>
        <w:rPr>
          <w:rFonts w:ascii="宋体" w:hAnsi="宋体"/>
          <w:b/>
          <w:color w:val="auto"/>
          <w:sz w:val="52"/>
          <w:szCs w:val="52"/>
          <w:highlight w:val="none"/>
        </w:rPr>
      </w:pPr>
      <w:r>
        <w:rPr>
          <w:rFonts w:hint="eastAsia" w:ascii="宋体" w:hAnsi="宋体"/>
          <w:b/>
          <w:color w:val="auto"/>
          <w:sz w:val="52"/>
          <w:szCs w:val="52"/>
          <w:highlight w:val="none"/>
        </w:rPr>
        <w:t>件</w:t>
      </w:r>
    </w:p>
    <w:p>
      <w:pPr>
        <w:pStyle w:val="15"/>
        <w:rPr>
          <w:color w:val="auto"/>
          <w:highlight w:val="none"/>
        </w:rPr>
      </w:pPr>
    </w:p>
    <w:p>
      <w:pPr>
        <w:jc w:val="center"/>
        <w:rPr>
          <w:rFonts w:ascii="宋体" w:hAnsi="宋体"/>
          <w:color w:val="auto"/>
          <w:sz w:val="36"/>
          <w:szCs w:val="36"/>
          <w:highlight w:val="none"/>
        </w:rPr>
      </w:pPr>
      <w:r>
        <w:rPr>
          <w:rFonts w:hint="eastAsia" w:ascii="宋体" w:hAnsi="宋体"/>
          <w:color w:val="auto"/>
          <w:sz w:val="36"/>
          <w:szCs w:val="36"/>
          <w:highlight w:val="none"/>
        </w:rPr>
        <w:t>（正本或副本）</w:t>
      </w:r>
    </w:p>
    <w:p>
      <w:pPr>
        <w:pStyle w:val="15"/>
        <w:rPr>
          <w:color w:val="auto"/>
          <w:highlight w:val="none"/>
        </w:rPr>
      </w:pPr>
    </w:p>
    <w:p>
      <w:pPr>
        <w:rPr>
          <w:color w:val="auto"/>
          <w:highlight w:val="none"/>
        </w:rPr>
      </w:pPr>
    </w:p>
    <w:p>
      <w:pPr>
        <w:jc w:val="center"/>
        <w:rPr>
          <w:rFonts w:ascii="宋体" w:hAnsi="宋体"/>
          <w:color w:val="auto"/>
          <w:sz w:val="30"/>
          <w:szCs w:val="30"/>
          <w:highlight w:val="none"/>
        </w:rPr>
      </w:pPr>
    </w:p>
    <w:p>
      <w:pPr>
        <w:rPr>
          <w:b/>
          <w:color w:val="auto"/>
          <w:sz w:val="30"/>
          <w:szCs w:val="30"/>
          <w:highlight w:val="none"/>
        </w:rPr>
      </w:pPr>
      <w:r>
        <w:rPr>
          <w:rFonts w:hint="eastAsia"/>
          <w:b/>
          <w:color w:val="auto"/>
          <w:sz w:val="30"/>
          <w:szCs w:val="30"/>
          <w:highlight w:val="none"/>
        </w:rPr>
        <w:t>供应商名称：</w:t>
      </w:r>
    </w:p>
    <w:p>
      <w:pPr>
        <w:pStyle w:val="15"/>
        <w:rPr>
          <w:color w:val="auto"/>
          <w:sz w:val="30"/>
          <w:szCs w:val="30"/>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color w:val="auto"/>
          <w:sz w:val="30"/>
          <w:szCs w:val="30"/>
          <w:highlight w:val="none"/>
        </w:rPr>
        <w:t>时间：   年   月   日</w:t>
      </w:r>
    </w:p>
    <w:bookmarkEnd w:id="32"/>
    <w:p>
      <w:pPr>
        <w:pStyle w:val="17"/>
        <w:jc w:val="left"/>
        <w:rPr>
          <w:color w:val="auto"/>
          <w:highlight w:val="none"/>
        </w:rPr>
      </w:pPr>
      <w:bookmarkStart w:id="35" w:name="_Toc19297"/>
      <w:bookmarkStart w:id="36" w:name="_Toc19295"/>
      <w:r>
        <w:rPr>
          <w:rFonts w:hint="eastAsia"/>
          <w:color w:val="auto"/>
          <w:highlight w:val="none"/>
        </w:rPr>
        <w:t>格式1-2</w:t>
      </w:r>
      <w:bookmarkEnd w:id="35"/>
      <w:bookmarkEnd w:id="36"/>
    </w:p>
    <w:p>
      <w:pPr>
        <w:spacing w:line="440" w:lineRule="exact"/>
        <w:jc w:val="center"/>
        <w:rPr>
          <w:rFonts w:hint="eastAsia" w:ascii="宋体" w:hAnsi="宋体"/>
          <w:b/>
          <w:bCs/>
          <w:color w:val="auto"/>
          <w:sz w:val="32"/>
          <w:szCs w:val="28"/>
          <w:highlight w:val="none"/>
        </w:rPr>
      </w:pPr>
      <w:bookmarkStart w:id="37" w:name="_Toc4105"/>
      <w:bookmarkStart w:id="38" w:name="_Toc527444256"/>
      <w:bookmarkStart w:id="39" w:name="_Toc516487564"/>
      <w:r>
        <w:rPr>
          <w:rFonts w:hint="eastAsia" w:ascii="宋体" w:hAnsi="宋体"/>
          <w:b/>
          <w:bCs/>
          <w:color w:val="auto"/>
          <w:sz w:val="32"/>
          <w:szCs w:val="28"/>
          <w:highlight w:val="none"/>
        </w:rPr>
        <w:t>响 应 函</w:t>
      </w:r>
    </w:p>
    <w:p>
      <w:pPr>
        <w:spacing w:line="440" w:lineRule="exact"/>
        <w:jc w:val="center"/>
        <w:rPr>
          <w:rFonts w:hint="eastAsia" w:ascii="宋体" w:hAnsi="宋体"/>
          <w:b/>
          <w:bCs/>
          <w:color w:val="auto"/>
          <w:sz w:val="32"/>
          <w:szCs w:val="28"/>
          <w:highlight w:val="none"/>
        </w:rPr>
      </w:pPr>
    </w:p>
    <w:p>
      <w:pPr>
        <w:snapToGrid w:val="0"/>
        <w:spacing w:after="120" w:line="360" w:lineRule="auto"/>
        <w:rPr>
          <w:rFonts w:hint="eastAsia" w:ascii="宋体" w:hAnsi="宋体" w:cs="仿宋"/>
          <w:bCs/>
          <w:color w:val="auto"/>
          <w:sz w:val="24"/>
          <w:highlight w:val="none"/>
        </w:rPr>
      </w:pPr>
      <w:r>
        <w:rPr>
          <w:rFonts w:hint="eastAsia" w:ascii="宋体" w:hAnsi="宋体" w:cs="仿宋"/>
          <w:bCs/>
          <w:color w:val="auto"/>
          <w:sz w:val="24"/>
          <w:highlight w:val="none"/>
          <w:u w:val="none"/>
          <w:lang w:eastAsia="zh-CN"/>
        </w:rPr>
        <w:t>致</w:t>
      </w:r>
      <w:r>
        <w:rPr>
          <w:rFonts w:hint="eastAsia" w:ascii="宋体" w:hAnsi="宋体" w:cs="仿宋"/>
          <w:bCs/>
          <w:color w:val="auto"/>
          <w:sz w:val="24"/>
          <w:highlight w:val="none"/>
          <w:u w:val="single"/>
          <w:lang w:val="en-US" w:eastAsia="zh-CN"/>
        </w:rPr>
        <w:t xml:space="preserve">              </w:t>
      </w:r>
      <w:r>
        <w:rPr>
          <w:rFonts w:hint="eastAsia" w:ascii="宋体" w:hAnsi="宋体" w:cs="仿宋"/>
          <w:bCs/>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s="仿宋"/>
          <w:bCs/>
          <w:color w:val="auto"/>
          <w:sz w:val="24"/>
          <w:highlight w:val="none"/>
        </w:rPr>
        <w:t>我方全面研究了</w:t>
      </w:r>
      <w:r>
        <w:rPr>
          <w:rFonts w:hint="eastAsia" w:ascii="宋体" w:hAnsi="宋体" w:cs="仿宋"/>
          <w:bCs/>
          <w:color w:val="auto"/>
          <w:sz w:val="24"/>
          <w:highlight w:val="none"/>
          <w:lang w:eastAsia="zh-CN"/>
        </w:rPr>
        <w:t>“</w:t>
      </w:r>
      <w:r>
        <w:rPr>
          <w:rFonts w:hint="eastAsia" w:ascii="宋体" w:hAnsi="宋体" w:cs="仿宋"/>
          <w:bCs/>
          <w:color w:val="auto"/>
          <w:sz w:val="24"/>
          <w:highlight w:val="none"/>
          <w:u w:val="single"/>
          <w:lang w:val="en-US" w:eastAsia="zh-CN"/>
        </w:rPr>
        <w:t xml:space="preserve">                </w:t>
      </w:r>
      <w:r>
        <w:rPr>
          <w:rFonts w:hint="eastAsia" w:ascii="宋体" w:hAnsi="宋体" w:cs="仿宋"/>
          <w:bCs/>
          <w:color w:val="auto"/>
          <w:sz w:val="24"/>
          <w:highlight w:val="none"/>
          <w:lang w:eastAsia="zh-CN"/>
        </w:rPr>
        <w:t>”</w:t>
      </w:r>
      <w:r>
        <w:rPr>
          <w:rFonts w:hint="eastAsia" w:ascii="宋体" w:hAnsi="宋体" w:cs="仿宋"/>
          <w:bCs/>
          <w:color w:val="auto"/>
          <w:sz w:val="24"/>
          <w:highlight w:val="none"/>
        </w:rPr>
        <w:t>项目的询价文件，决定参加贵单位组织的本项目的采购活动。我方授权</w:t>
      </w:r>
      <w:r>
        <w:rPr>
          <w:rFonts w:hint="eastAsia" w:ascii="宋体" w:hAnsi="宋体" w:cs="仿宋"/>
          <w:bCs/>
          <w:color w:val="auto"/>
          <w:sz w:val="24"/>
          <w:highlight w:val="none"/>
          <w:u w:val="single"/>
        </w:rPr>
        <w:t xml:space="preserve">            </w:t>
      </w:r>
      <w:r>
        <w:rPr>
          <w:rFonts w:hint="eastAsia" w:ascii="宋体" w:hAnsi="宋体" w:cs="仿宋"/>
          <w:bCs/>
          <w:color w:val="auto"/>
          <w:sz w:val="24"/>
          <w:highlight w:val="none"/>
        </w:rPr>
        <w:t>（姓名、职务）代表我方</w:t>
      </w:r>
      <w:r>
        <w:rPr>
          <w:rFonts w:hint="eastAsia" w:ascii="宋体" w:hAnsi="宋体" w:cs="仿宋"/>
          <w:bCs/>
          <w:color w:val="auto"/>
          <w:sz w:val="24"/>
          <w:highlight w:val="none"/>
          <w:u w:val="single"/>
        </w:rPr>
        <w:t xml:space="preserve">                 </w:t>
      </w:r>
      <w:r>
        <w:rPr>
          <w:rFonts w:hint="eastAsia" w:ascii="宋体" w:hAnsi="宋体" w:cs="仿宋"/>
          <w:bCs/>
          <w:color w:val="auto"/>
          <w:sz w:val="24"/>
          <w:highlight w:val="none"/>
        </w:rPr>
        <w:t xml:space="preserve">  （供应商的名称）全权处理本项目采购活动的有关事宜，</w:t>
      </w:r>
      <w:r>
        <w:rPr>
          <w:rFonts w:hint="eastAsia" w:ascii="宋体" w:hAnsi="宋体"/>
          <w:color w:val="auto"/>
          <w:sz w:val="24"/>
          <w:highlight w:val="none"/>
        </w:rPr>
        <w:t>我公司承诺如下：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我公司将按询价文件的规定履行合同责任和义务。</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我公司已详细审查全部询价文件，包括修改文件（如有的话）以及全部参考资料和有关附件。我公司完全理解并同意放弃对这方面有不明及误解的权利。</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我公司同意提供按照贵公司能要求的与其报价有关的一切数据或资料。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我公司愿意遵守询价文件中对供应商的所有规定。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 一旦我公司成交,我公司愿意履行自己在响应文件中的全部承诺和责任。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 我公司同意所递交的响应文件在</w:t>
      </w:r>
      <w:r>
        <w:rPr>
          <w:rFonts w:hint="eastAsia" w:ascii="宋体" w:hAnsi="宋体"/>
          <w:color w:val="auto"/>
          <w:sz w:val="24"/>
          <w:highlight w:val="none"/>
          <w:u w:val="single"/>
          <w:lang w:val="en-US" w:eastAsia="zh-CN"/>
        </w:rPr>
        <w:t>90</w:t>
      </w:r>
      <w:r>
        <w:rPr>
          <w:rFonts w:hint="eastAsia" w:ascii="宋体" w:hAnsi="宋体"/>
          <w:color w:val="auto"/>
          <w:sz w:val="24"/>
          <w:highlight w:val="none"/>
        </w:rPr>
        <w:t>天的</w:t>
      </w:r>
      <w:r>
        <w:rPr>
          <w:rFonts w:hint="eastAsia" w:ascii="宋体" w:hAnsi="宋体" w:cs="仿宋"/>
          <w:color w:val="auto"/>
          <w:sz w:val="24"/>
          <w:highlight w:val="none"/>
          <w:lang w:val="zh-CN"/>
        </w:rPr>
        <w:t>询价</w:t>
      </w:r>
      <w:r>
        <w:rPr>
          <w:rFonts w:hint="eastAsia" w:ascii="宋体" w:hAnsi="宋体"/>
          <w:color w:val="auto"/>
          <w:sz w:val="24"/>
          <w:highlight w:val="none"/>
        </w:rPr>
        <w:t>有效期内有效，在此期间内我公司的报价有可能成交，我公司将受此约束。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 我公司知道如用虚假材料或恶意方式向贵公司提出质疑，将承担相应的法律责任。同时承诺：我公司如果有上述行为，将无条件承担贵公司相关的调查论证费用。我公司同意提供按贵公司可能要求的与其询价有关的一切数据或资料。</w:t>
      </w:r>
    </w:p>
    <w:p>
      <w:pPr>
        <w:snapToGrid w:val="0"/>
        <w:spacing w:after="120" w:line="360" w:lineRule="auto"/>
        <w:ind w:left="420" w:leftChars="200" w:firstLine="480" w:firstLineChars="200"/>
        <w:rPr>
          <w:rFonts w:hint="eastAsia" w:ascii="宋体" w:hAnsi="宋体" w:cs="仿宋"/>
          <w:bCs/>
          <w:color w:val="auto"/>
          <w:sz w:val="24"/>
          <w:highlight w:val="none"/>
        </w:rPr>
      </w:pPr>
    </w:p>
    <w:p>
      <w:pPr>
        <w:snapToGrid w:val="0"/>
        <w:spacing w:after="120" w:line="360" w:lineRule="auto"/>
        <w:ind w:left="420" w:leftChars="200" w:firstLine="70" w:firstLineChars="25"/>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供应商名称：</w:t>
      </w:r>
      <w:r>
        <w:rPr>
          <w:rFonts w:hint="eastAsia" w:ascii="宋体" w:hAnsi="宋体" w:cs="仿宋"/>
          <w:b/>
          <w:bCs/>
          <w:color w:val="auto"/>
          <w:sz w:val="28"/>
          <w:szCs w:val="28"/>
          <w:highlight w:val="none"/>
          <w:u w:val="single"/>
        </w:rPr>
        <w:t xml:space="preserve">                         </w:t>
      </w:r>
      <w:r>
        <w:rPr>
          <w:rFonts w:hint="eastAsia" w:ascii="宋体" w:hAnsi="宋体" w:cs="仿宋"/>
          <w:b/>
          <w:bCs/>
          <w:color w:val="auto"/>
          <w:sz w:val="28"/>
          <w:szCs w:val="28"/>
          <w:highlight w:val="none"/>
        </w:rPr>
        <w:t>（盖章）</w:t>
      </w:r>
    </w:p>
    <w:p>
      <w:pPr>
        <w:snapToGrid w:val="0"/>
        <w:spacing w:after="120" w:line="360" w:lineRule="auto"/>
        <w:ind w:firstLine="562" w:firstLineChars="200"/>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法定代表人或授权代表：</w:t>
      </w:r>
      <w:r>
        <w:rPr>
          <w:rFonts w:hint="eastAsia" w:ascii="宋体" w:hAnsi="宋体" w:cs="仿宋"/>
          <w:b/>
          <w:bCs/>
          <w:color w:val="auto"/>
          <w:sz w:val="28"/>
          <w:szCs w:val="28"/>
          <w:highlight w:val="none"/>
          <w:u w:val="single"/>
        </w:rPr>
        <w:t xml:space="preserve">               </w:t>
      </w:r>
      <w:r>
        <w:rPr>
          <w:rFonts w:hint="eastAsia" w:ascii="宋体" w:hAnsi="宋体" w:cs="仿宋"/>
          <w:b/>
          <w:bCs/>
          <w:color w:val="auto"/>
          <w:sz w:val="28"/>
          <w:szCs w:val="28"/>
          <w:highlight w:val="none"/>
        </w:rPr>
        <w:t>（签字）</w:t>
      </w:r>
    </w:p>
    <w:p>
      <w:pPr>
        <w:snapToGrid w:val="0"/>
        <w:spacing w:after="120" w:line="360" w:lineRule="auto"/>
        <w:ind w:firstLine="562" w:firstLineChars="200"/>
        <w:jc w:val="left"/>
        <w:rPr>
          <w:rFonts w:hint="eastAsia" w:ascii="宋体" w:hAnsi="宋体" w:cs="仿宋"/>
          <w:b/>
          <w:bCs/>
          <w:color w:val="auto"/>
          <w:sz w:val="28"/>
          <w:szCs w:val="28"/>
          <w:highlight w:val="none"/>
          <w:u w:val="single"/>
        </w:rPr>
      </w:pPr>
      <w:r>
        <w:rPr>
          <w:rFonts w:hint="eastAsia" w:ascii="宋体" w:hAnsi="宋体" w:cs="仿宋"/>
          <w:b/>
          <w:bCs/>
          <w:color w:val="auto"/>
          <w:sz w:val="28"/>
          <w:szCs w:val="28"/>
          <w:highlight w:val="none"/>
        </w:rPr>
        <w:t>通讯地址：</w:t>
      </w:r>
      <w:r>
        <w:rPr>
          <w:rFonts w:hint="eastAsia" w:ascii="宋体" w:hAnsi="宋体" w:cs="仿宋"/>
          <w:b/>
          <w:bCs/>
          <w:color w:val="auto"/>
          <w:sz w:val="28"/>
          <w:szCs w:val="28"/>
          <w:highlight w:val="none"/>
          <w:u w:val="single"/>
        </w:rPr>
        <w:t xml:space="preserve">                   </w:t>
      </w:r>
      <w:r>
        <w:rPr>
          <w:rFonts w:hint="eastAsia" w:ascii="宋体" w:hAnsi="宋体" w:cs="仿宋"/>
          <w:b/>
          <w:bCs/>
          <w:color w:val="auto"/>
          <w:sz w:val="28"/>
          <w:szCs w:val="28"/>
          <w:highlight w:val="none"/>
        </w:rPr>
        <w:t>邮政编码：</w:t>
      </w:r>
      <w:r>
        <w:rPr>
          <w:rFonts w:hint="eastAsia" w:ascii="宋体" w:hAnsi="宋体" w:cs="仿宋"/>
          <w:b/>
          <w:bCs/>
          <w:color w:val="auto"/>
          <w:sz w:val="28"/>
          <w:szCs w:val="28"/>
          <w:highlight w:val="none"/>
          <w:u w:val="single"/>
        </w:rPr>
        <w:t xml:space="preserve">              </w:t>
      </w:r>
    </w:p>
    <w:p>
      <w:pPr>
        <w:snapToGrid w:val="0"/>
        <w:spacing w:after="120" w:line="360" w:lineRule="auto"/>
        <w:ind w:firstLine="562" w:firstLineChars="200"/>
        <w:jc w:val="left"/>
        <w:rPr>
          <w:rFonts w:hint="eastAsia" w:ascii="宋体" w:hAnsi="宋体" w:cs="仿宋"/>
          <w:b/>
          <w:bCs/>
          <w:color w:val="auto"/>
          <w:sz w:val="28"/>
          <w:szCs w:val="28"/>
          <w:highlight w:val="none"/>
          <w:u w:val="single"/>
        </w:rPr>
      </w:pPr>
      <w:r>
        <w:rPr>
          <w:rFonts w:hint="eastAsia" w:ascii="宋体" w:hAnsi="宋体" w:cs="仿宋"/>
          <w:b/>
          <w:bCs/>
          <w:color w:val="auto"/>
          <w:sz w:val="28"/>
          <w:szCs w:val="28"/>
          <w:highlight w:val="none"/>
        </w:rPr>
        <w:t>联系电话：</w:t>
      </w:r>
      <w:r>
        <w:rPr>
          <w:rFonts w:hint="eastAsia" w:ascii="宋体" w:hAnsi="宋体" w:cs="仿宋"/>
          <w:b/>
          <w:bCs/>
          <w:color w:val="auto"/>
          <w:sz w:val="28"/>
          <w:szCs w:val="28"/>
          <w:highlight w:val="none"/>
          <w:u w:val="single"/>
        </w:rPr>
        <w:t xml:space="preserve">                  </w:t>
      </w:r>
      <w:r>
        <w:rPr>
          <w:rFonts w:hint="eastAsia" w:ascii="宋体" w:hAnsi="宋体" w:cs="仿宋"/>
          <w:b/>
          <w:bCs/>
          <w:color w:val="auto"/>
          <w:sz w:val="28"/>
          <w:szCs w:val="28"/>
          <w:highlight w:val="none"/>
        </w:rPr>
        <w:t xml:space="preserve"> 传    真：</w:t>
      </w:r>
      <w:r>
        <w:rPr>
          <w:rFonts w:hint="eastAsia" w:ascii="宋体" w:hAnsi="宋体" w:cs="仿宋"/>
          <w:b/>
          <w:bCs/>
          <w:color w:val="auto"/>
          <w:sz w:val="28"/>
          <w:szCs w:val="28"/>
          <w:highlight w:val="none"/>
          <w:u w:val="single"/>
        </w:rPr>
        <w:t xml:space="preserve">              </w:t>
      </w:r>
    </w:p>
    <w:p>
      <w:pPr>
        <w:pStyle w:val="17"/>
        <w:ind w:firstLine="562" w:firstLineChars="200"/>
        <w:jc w:val="left"/>
        <w:rPr>
          <w:color w:val="auto"/>
          <w:highlight w:val="none"/>
        </w:rPr>
      </w:pPr>
      <w:bookmarkStart w:id="40" w:name="_Toc25958"/>
      <w:r>
        <w:rPr>
          <w:rFonts w:hint="eastAsia" w:hAnsi="宋体" w:cs="仿宋"/>
          <w:b/>
          <w:bCs/>
          <w:color w:val="auto"/>
          <w:sz w:val="28"/>
          <w:szCs w:val="28"/>
          <w:highlight w:val="none"/>
        </w:rPr>
        <w:t>日期：  年  月  日</w:t>
      </w:r>
      <w:r>
        <w:rPr>
          <w:rFonts w:hAnsi="宋体" w:cs="仿宋"/>
          <w:b/>
          <w:bCs/>
          <w:color w:val="auto"/>
          <w:sz w:val="32"/>
          <w:szCs w:val="32"/>
          <w:highlight w:val="none"/>
        </w:rPr>
        <w:br w:type="page"/>
      </w:r>
      <w:r>
        <w:rPr>
          <w:rFonts w:hint="eastAsia"/>
          <w:color w:val="auto"/>
          <w:highlight w:val="none"/>
        </w:rPr>
        <w:t>格式1-3</w:t>
      </w:r>
      <w:bookmarkEnd w:id="37"/>
      <w:bookmarkEnd w:id="40"/>
    </w:p>
    <w:p>
      <w:pPr>
        <w:pStyle w:val="4"/>
        <w:tabs>
          <w:tab w:val="left" w:pos="709"/>
        </w:tabs>
        <w:ind w:left="709" w:hanging="709"/>
        <w:rPr>
          <w:color w:val="auto"/>
          <w:highlight w:val="none"/>
        </w:rPr>
      </w:pPr>
      <w:r>
        <w:rPr>
          <w:rFonts w:hint="eastAsia"/>
          <w:color w:val="auto"/>
          <w:highlight w:val="none"/>
        </w:rPr>
        <w:t>二、声明</w:t>
      </w:r>
      <w:bookmarkEnd w:id="38"/>
      <w:bookmarkEnd w:id="39"/>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致：</w:t>
      </w:r>
      <w:r>
        <w:rPr>
          <w:rFonts w:hint="eastAsia" w:ascii="宋体" w:hAnsi="宋体"/>
          <w:b/>
          <w:color w:val="auto"/>
          <w:sz w:val="28"/>
          <w:szCs w:val="28"/>
          <w:highlight w:val="none"/>
          <w:u w:val="single"/>
        </w:rPr>
        <w:t xml:space="preserve">        （采购人）</w:t>
      </w:r>
    </w:p>
    <w:p>
      <w:pPr>
        <w:spacing w:line="600" w:lineRule="exact"/>
        <w:ind w:firstLine="480" w:firstLineChars="200"/>
        <w:rPr>
          <w:color w:val="auto"/>
          <w:sz w:val="24"/>
          <w:szCs w:val="24"/>
          <w:highlight w:val="none"/>
        </w:rPr>
      </w:pPr>
      <w:r>
        <w:rPr>
          <w:rFonts w:hint="eastAsia" w:ascii="宋体" w:hAnsi="宋体"/>
          <w:color w:val="auto"/>
          <w:sz w:val="24"/>
          <w:szCs w:val="24"/>
          <w:highlight w:val="none"/>
        </w:rPr>
        <w:t>我公司作为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的供应商，在此郑重声明：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一、我公司参加采购活动前三年内，在经营活动中</w:t>
      </w:r>
      <w:r>
        <w:rPr>
          <w:rFonts w:hint="eastAsia" w:ascii="宋体" w:hAnsi="宋体"/>
          <w:bCs/>
          <w:color w:val="auto"/>
          <w:sz w:val="24"/>
          <w:szCs w:val="24"/>
          <w:highlight w:val="none"/>
        </w:rPr>
        <w:t>无</w:t>
      </w:r>
      <w:r>
        <w:rPr>
          <w:rFonts w:hint="eastAsia" w:ascii="宋体" w:hAnsi="宋体"/>
          <w:color w:val="auto"/>
          <w:sz w:val="24"/>
          <w:szCs w:val="24"/>
          <w:highlight w:val="none"/>
        </w:rPr>
        <w:t>重大违法记录。</w:t>
      </w:r>
    </w:p>
    <w:p>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二、参加本项目投标我公司与其他投标供应商不存在直接控股、管理关系</w:t>
      </w:r>
      <w:r>
        <w:rPr>
          <w:rFonts w:hint="eastAsia" w:ascii="宋体" w:hAnsi="宋体"/>
          <w:b/>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三、在行贿犯罪信息查询期限内，我公司及我公司现任法定代表人、主要负责人没有行贿犯罪记录。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四、我公司</w:t>
      </w:r>
      <w:r>
        <w:rPr>
          <w:rFonts w:hint="eastAsia" w:ascii="宋体" w:hAnsi="宋体"/>
          <w:bCs/>
          <w:color w:val="auto"/>
          <w:sz w:val="24"/>
          <w:szCs w:val="24"/>
          <w:highlight w:val="none"/>
        </w:rPr>
        <w:t>未列入</w:t>
      </w:r>
      <w:r>
        <w:rPr>
          <w:rFonts w:hint="eastAsia" w:ascii="宋体" w:hAnsi="宋体"/>
          <w:color w:val="auto"/>
          <w:sz w:val="24"/>
          <w:szCs w:val="24"/>
          <w:highlight w:val="none"/>
        </w:rPr>
        <w:t>失信被执行人、重大税收违法案件当事人名单。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五、我公司</w:t>
      </w:r>
      <w:r>
        <w:rPr>
          <w:rFonts w:hint="eastAsia" w:ascii="宋体" w:hAnsi="宋体"/>
          <w:bCs/>
          <w:color w:val="auto"/>
          <w:sz w:val="24"/>
          <w:szCs w:val="24"/>
          <w:highlight w:val="none"/>
        </w:rPr>
        <w:t>未列入</w:t>
      </w:r>
      <w:r>
        <w:rPr>
          <w:rFonts w:hint="eastAsia" w:ascii="宋体" w:hAnsi="宋体"/>
          <w:color w:val="auto"/>
          <w:sz w:val="24"/>
          <w:szCs w:val="24"/>
          <w:highlight w:val="none"/>
        </w:rPr>
        <w:t>采购严重违法失信行为记录名单。</w:t>
      </w:r>
    </w:p>
    <w:p>
      <w:pPr>
        <w:spacing w:line="600" w:lineRule="exact"/>
        <w:ind w:firstLine="460" w:firstLineChars="192"/>
        <w:rPr>
          <w:rFonts w:ascii="宋体" w:hAnsi="宋体"/>
          <w:color w:val="auto"/>
          <w:sz w:val="24"/>
          <w:szCs w:val="24"/>
          <w:highlight w:val="none"/>
        </w:rPr>
      </w:pPr>
      <w:r>
        <w:rPr>
          <w:rFonts w:hint="eastAsia" w:ascii="宋体" w:hAnsi="宋体"/>
          <w:color w:val="auto"/>
          <w:sz w:val="24"/>
          <w:szCs w:val="24"/>
          <w:highlight w:val="none"/>
        </w:rPr>
        <w:t>特此声明。</w:t>
      </w:r>
    </w:p>
    <w:p>
      <w:pPr>
        <w:spacing w:line="560" w:lineRule="exact"/>
        <w:ind w:firstLine="460" w:firstLineChars="192"/>
        <w:rPr>
          <w:rFonts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(加盖单位公章)</w:t>
      </w:r>
    </w:p>
    <w:p>
      <w:pPr>
        <w:spacing w:line="560" w:lineRule="exact"/>
        <w:ind w:firstLine="525"/>
        <w:rPr>
          <w:rFonts w:ascii="宋体" w:hAnsi="宋体"/>
          <w:bCs/>
          <w:color w:val="auto"/>
          <w:sz w:val="24"/>
          <w:szCs w:val="24"/>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bCs/>
          <w:color w:val="auto"/>
          <w:sz w:val="24"/>
          <w:szCs w:val="24"/>
          <w:highlight w:val="none"/>
        </w:rPr>
        <w:t>日      期：</w:t>
      </w:r>
      <w:r>
        <w:rPr>
          <w:rFonts w:hint="eastAsia" w:ascii="宋体" w:hAnsi="宋体"/>
          <w:color w:val="auto"/>
          <w:sz w:val="24"/>
          <w:szCs w:val="24"/>
          <w:highlight w:val="none"/>
        </w:rPr>
        <w:t>　　</w:t>
      </w:r>
      <w:r>
        <w:rPr>
          <w:rFonts w:hint="eastAsia" w:ascii="宋体" w:hAnsi="宋体"/>
          <w:bCs/>
          <w:color w:val="auto"/>
          <w:sz w:val="24"/>
          <w:szCs w:val="24"/>
          <w:highlight w:val="none"/>
        </w:rPr>
        <w:t>年</w:t>
      </w:r>
      <w:r>
        <w:rPr>
          <w:rFonts w:hint="eastAsia" w:ascii="宋体" w:hAnsi="宋体"/>
          <w:color w:val="auto"/>
          <w:sz w:val="24"/>
          <w:szCs w:val="24"/>
          <w:highlight w:val="none"/>
        </w:rPr>
        <w:t>　　</w:t>
      </w:r>
      <w:r>
        <w:rPr>
          <w:rFonts w:hint="eastAsia" w:ascii="宋体" w:hAnsi="宋体"/>
          <w:bCs/>
          <w:color w:val="auto"/>
          <w:sz w:val="24"/>
          <w:szCs w:val="24"/>
          <w:highlight w:val="none"/>
        </w:rPr>
        <w:t>月</w:t>
      </w:r>
      <w:r>
        <w:rPr>
          <w:rFonts w:hint="eastAsia" w:ascii="宋体" w:hAnsi="宋体"/>
          <w:color w:val="auto"/>
          <w:sz w:val="24"/>
          <w:szCs w:val="24"/>
          <w:highlight w:val="none"/>
        </w:rPr>
        <w:t>　　</w:t>
      </w:r>
      <w:r>
        <w:rPr>
          <w:rFonts w:hint="eastAsia" w:ascii="宋体" w:hAnsi="宋体"/>
          <w:bCs/>
          <w:color w:val="auto"/>
          <w:sz w:val="24"/>
          <w:szCs w:val="24"/>
          <w:highlight w:val="none"/>
        </w:rPr>
        <w:t>日</w:t>
      </w:r>
    </w:p>
    <w:p>
      <w:pPr>
        <w:pStyle w:val="17"/>
        <w:jc w:val="left"/>
        <w:rPr>
          <w:color w:val="auto"/>
          <w:highlight w:val="none"/>
        </w:rPr>
      </w:pPr>
      <w:bookmarkStart w:id="41" w:name="_Toc7530"/>
      <w:bookmarkStart w:id="42" w:name="_Toc10437"/>
      <w:r>
        <w:rPr>
          <w:rFonts w:hint="eastAsia"/>
          <w:color w:val="auto"/>
          <w:highlight w:val="none"/>
        </w:rPr>
        <w:t>格式1-4</w:t>
      </w:r>
      <w:bookmarkEnd w:id="41"/>
      <w:bookmarkEnd w:id="42"/>
    </w:p>
    <w:p>
      <w:pPr>
        <w:pStyle w:val="7"/>
        <w:rPr>
          <w:color w:val="auto"/>
          <w:highlight w:val="none"/>
        </w:rPr>
      </w:pPr>
    </w:p>
    <w:p>
      <w:pPr>
        <w:rPr>
          <w:color w:val="auto"/>
          <w:highlight w:val="none"/>
        </w:rPr>
      </w:pPr>
    </w:p>
    <w:p>
      <w:pPr>
        <w:pStyle w:val="4"/>
        <w:rPr>
          <w:color w:val="auto"/>
          <w:highlight w:val="none"/>
        </w:rPr>
      </w:pPr>
      <w:r>
        <w:rPr>
          <w:rFonts w:hint="eastAsia"/>
          <w:color w:val="auto"/>
          <w:highlight w:val="none"/>
        </w:rPr>
        <w:t>三、法定代表人身份证明</w:t>
      </w: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供应商名称：</w:t>
      </w: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单位性质：</w:t>
      </w: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地    址：</w:t>
      </w: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成立时间：年月日</w:t>
      </w: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经营期限：</w:t>
      </w:r>
    </w:p>
    <w:p>
      <w:pPr>
        <w:spacing w:line="700" w:lineRule="exact"/>
        <w:ind w:firstLine="539"/>
        <w:jc w:val="left"/>
        <w:rPr>
          <w:rFonts w:ascii="宋体" w:hAnsi="宋体"/>
          <w:color w:val="auto"/>
          <w:sz w:val="24"/>
          <w:szCs w:val="24"/>
          <w:highlight w:val="none"/>
        </w:rPr>
      </w:pPr>
    </w:p>
    <w:p>
      <w:pPr>
        <w:spacing w:line="700" w:lineRule="exact"/>
        <w:ind w:firstLine="539"/>
        <w:jc w:val="left"/>
        <w:rPr>
          <w:rFonts w:ascii="宋体" w:hAnsi="宋体"/>
          <w:color w:val="auto"/>
          <w:sz w:val="24"/>
          <w:szCs w:val="24"/>
          <w:highlight w:val="none"/>
          <w:u w:val="single"/>
        </w:rPr>
      </w:pPr>
      <w:r>
        <w:rPr>
          <w:rFonts w:hint="eastAsia" w:ascii="宋体" w:hAnsi="宋体"/>
          <w:color w:val="auto"/>
          <w:sz w:val="24"/>
          <w:szCs w:val="24"/>
          <w:highlight w:val="none"/>
        </w:rPr>
        <w:t>姓名：性别：年龄： 职务：</w:t>
      </w:r>
    </w:p>
    <w:p>
      <w:pPr>
        <w:spacing w:line="700" w:lineRule="exact"/>
        <w:ind w:firstLine="539"/>
        <w:jc w:val="left"/>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w:t>
      </w:r>
      <w:r>
        <w:rPr>
          <w:rFonts w:hint="eastAsia" w:ascii="宋体" w:hAnsi="宋体"/>
          <w:color w:val="auto"/>
          <w:sz w:val="24"/>
          <w:szCs w:val="24"/>
          <w:highlight w:val="none"/>
        </w:rPr>
        <w:t>的法定代表人。</w:t>
      </w:r>
    </w:p>
    <w:p>
      <w:pPr>
        <w:spacing w:line="700" w:lineRule="exact"/>
        <w:ind w:firstLine="539"/>
        <w:jc w:val="left"/>
        <w:rPr>
          <w:rFonts w:ascii="宋体" w:hAnsi="宋体"/>
          <w:color w:val="auto"/>
          <w:sz w:val="24"/>
          <w:szCs w:val="24"/>
          <w:highlight w:val="none"/>
        </w:rPr>
      </w:pPr>
      <w:r>
        <w:rPr>
          <w:rFonts w:hint="eastAsia" w:ascii="宋体" w:hAnsi="宋体"/>
          <w:color w:val="auto"/>
          <w:sz w:val="24"/>
          <w:szCs w:val="24"/>
          <w:highlight w:val="none"/>
        </w:rPr>
        <w:t>特此证明。</w:t>
      </w:r>
    </w:p>
    <w:p>
      <w:pPr>
        <w:spacing w:line="700" w:lineRule="exact"/>
        <w:ind w:firstLine="539"/>
        <w:jc w:val="left"/>
        <w:rPr>
          <w:rFonts w:ascii="宋体" w:hAnsi="宋体"/>
          <w:color w:val="auto"/>
          <w:sz w:val="24"/>
          <w:szCs w:val="24"/>
          <w:highlight w:val="none"/>
        </w:rPr>
      </w:pPr>
    </w:p>
    <w:p>
      <w:pPr>
        <w:spacing w:line="700" w:lineRule="exact"/>
        <w:ind w:firstLine="539"/>
        <w:jc w:val="left"/>
        <w:rPr>
          <w:rFonts w:ascii="宋体" w:hAnsi="宋体"/>
          <w:color w:val="auto"/>
          <w:sz w:val="24"/>
          <w:szCs w:val="24"/>
          <w:highlight w:val="none"/>
        </w:rPr>
      </w:pPr>
    </w:p>
    <w:p>
      <w:pPr>
        <w:spacing w:line="700" w:lineRule="exact"/>
        <w:ind w:firstLine="539"/>
        <w:jc w:val="left"/>
        <w:rPr>
          <w:rFonts w:ascii="宋体" w:hAnsi="宋体"/>
          <w:color w:val="auto"/>
          <w:sz w:val="24"/>
          <w:szCs w:val="24"/>
          <w:highlight w:val="none"/>
        </w:rPr>
      </w:pPr>
    </w:p>
    <w:p>
      <w:pPr>
        <w:spacing w:line="700" w:lineRule="exact"/>
        <w:ind w:firstLine="539"/>
        <w:jc w:val="left"/>
        <w:rPr>
          <w:rFonts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（加盖单位公章）</w:t>
      </w:r>
    </w:p>
    <w:p>
      <w:pPr>
        <w:spacing w:line="7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日期：   年   月   日</w:t>
      </w:r>
    </w:p>
    <w:p>
      <w:pPr>
        <w:spacing w:line="700" w:lineRule="exact"/>
        <w:ind w:firstLine="539"/>
        <w:jc w:val="center"/>
        <w:rPr>
          <w:rFonts w:ascii="宋体" w:hAnsi="宋体"/>
          <w:color w:val="auto"/>
          <w:sz w:val="24"/>
          <w:szCs w:val="24"/>
          <w:highlight w:val="none"/>
        </w:rPr>
      </w:pPr>
    </w:p>
    <w:p>
      <w:pPr>
        <w:spacing w:line="700" w:lineRule="exact"/>
        <w:ind w:firstLine="539"/>
        <w:jc w:val="left"/>
        <w:rPr>
          <w:rFonts w:ascii="宋体" w:hAnsi="宋体"/>
          <w:color w:val="auto"/>
          <w:sz w:val="24"/>
          <w:szCs w:val="24"/>
          <w:highlight w:val="none"/>
        </w:rPr>
      </w:pPr>
      <w:r>
        <w:rPr>
          <w:rFonts w:hint="eastAsia" w:ascii="宋体" w:hAnsi="宋体"/>
          <w:color w:val="auto"/>
          <w:sz w:val="24"/>
          <w:szCs w:val="24"/>
          <w:highlight w:val="none"/>
        </w:rPr>
        <w:t>注：法定代表人身份证明书后面须附法定代表人身份证复印件。</w:t>
      </w:r>
    </w:p>
    <w:p>
      <w:pPr>
        <w:pStyle w:val="17"/>
        <w:jc w:val="left"/>
        <w:rPr>
          <w:color w:val="auto"/>
          <w:highlight w:val="none"/>
        </w:rPr>
      </w:pPr>
      <w:bookmarkStart w:id="43" w:name="_Toc14531"/>
      <w:bookmarkStart w:id="44" w:name="_Toc21289"/>
      <w:r>
        <w:rPr>
          <w:rFonts w:hint="eastAsia"/>
          <w:color w:val="auto"/>
          <w:highlight w:val="none"/>
        </w:rPr>
        <w:t>格式1-5</w:t>
      </w:r>
      <w:bookmarkEnd w:id="43"/>
      <w:bookmarkEnd w:id="44"/>
    </w:p>
    <w:p>
      <w:pPr>
        <w:pStyle w:val="4"/>
        <w:rPr>
          <w:color w:val="auto"/>
          <w:highlight w:val="none"/>
        </w:rPr>
      </w:pPr>
      <w:r>
        <w:rPr>
          <w:rFonts w:hint="eastAsia"/>
          <w:color w:val="auto"/>
          <w:highlight w:val="none"/>
        </w:rPr>
        <w:t>四、法定代表人授权委托书</w:t>
      </w:r>
    </w:p>
    <w:p>
      <w:pPr>
        <w:spacing w:line="500" w:lineRule="exact"/>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（采购人）</w:t>
      </w:r>
      <w:r>
        <w:rPr>
          <w:rFonts w:hint="eastAsia" w:ascii="宋体" w:hAnsi="宋体" w:cs="宋体"/>
          <w:color w:val="auto"/>
          <w:sz w:val="24"/>
          <w:szCs w:val="24"/>
          <w:highlight w:val="none"/>
        </w:rPr>
        <w:t>：</w:t>
      </w:r>
    </w:p>
    <w:p>
      <w:pPr>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（供应商名称）</w:t>
      </w:r>
      <w:r>
        <w:rPr>
          <w:rFonts w:hint="eastAsia" w:ascii="宋体" w:hAnsi="宋体" w:cs="宋体"/>
          <w:color w:val="auto"/>
          <w:sz w:val="24"/>
          <w:szCs w:val="24"/>
          <w:highlight w:val="none"/>
        </w:rPr>
        <w:t>的法定代表人，现委托本单位人员</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为我方代理人。代理人根据授权，以我方名义签署、澄清、说明、补正、递交、撤回、修改</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的响应文件，其法律后果由我方承担。</w:t>
      </w: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附：委托代理人身份证复印件</w:t>
      </w: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p>
    <w:p>
      <w:pPr>
        <w:spacing w:line="500" w:lineRule="exact"/>
        <w:ind w:firstLine="480" w:firstLineChars="200"/>
        <w:jc w:val="left"/>
        <w:rPr>
          <w:rFonts w:ascii="宋体" w:hAnsi="宋体" w:cs="宋体"/>
          <w:color w:val="auto"/>
          <w:sz w:val="24"/>
          <w:szCs w:val="24"/>
          <w:highlight w:val="none"/>
        </w:rPr>
      </w:pPr>
    </w:p>
    <w:p>
      <w:pPr>
        <w:spacing w:line="500" w:lineRule="exact"/>
        <w:ind w:right="360"/>
        <w:jc w:val="left"/>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（加盖单位公章）</w:t>
      </w:r>
    </w:p>
    <w:p>
      <w:pPr>
        <w:spacing w:line="500" w:lineRule="exact"/>
        <w:ind w:right="36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Theme="minorEastAsia" w:hAnsiTheme="minorEastAsia" w:eastAsiaTheme="minorEastAsia" w:cstheme="minorEastAsia"/>
          <w:bCs/>
          <w:color w:val="auto"/>
          <w:sz w:val="24"/>
          <w:highlight w:val="none"/>
        </w:rPr>
        <w:t>签字或加盖个人名章</w:t>
      </w:r>
      <w:r>
        <w:rPr>
          <w:rFonts w:hint="eastAsia" w:ascii="宋体" w:hAnsi="宋体" w:cs="宋体"/>
          <w:color w:val="auto"/>
          <w:sz w:val="24"/>
          <w:szCs w:val="24"/>
          <w:highlight w:val="none"/>
        </w:rPr>
        <w:t>）：</w:t>
      </w:r>
    </w:p>
    <w:p>
      <w:pPr>
        <w:spacing w:line="500" w:lineRule="exact"/>
        <w:ind w:right="360"/>
        <w:jc w:val="left"/>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Theme="minorEastAsia" w:hAnsiTheme="minorEastAsia" w:eastAsiaTheme="minorEastAsia" w:cstheme="minorEastAsia"/>
          <w:bCs/>
          <w:color w:val="auto"/>
          <w:sz w:val="24"/>
          <w:highlight w:val="none"/>
        </w:rPr>
        <w:t>签字或加盖个人名章</w:t>
      </w:r>
      <w:r>
        <w:rPr>
          <w:rFonts w:hint="eastAsia" w:ascii="宋体" w:hAnsi="宋体" w:cs="宋体"/>
          <w:color w:val="auto"/>
          <w:sz w:val="24"/>
          <w:szCs w:val="24"/>
          <w:highlight w:val="none"/>
        </w:rPr>
        <w:t>）：</w:t>
      </w:r>
    </w:p>
    <w:p>
      <w:pPr>
        <w:spacing w:line="500" w:lineRule="exact"/>
        <w:ind w:right="480"/>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wordWrap w:val="0"/>
        <w:spacing w:line="500" w:lineRule="exact"/>
        <w:ind w:right="480" w:firstLine="3480" w:firstLineChars="1450"/>
        <w:jc w:val="left"/>
        <w:rPr>
          <w:rFonts w:ascii="宋体" w:hAnsi="宋体" w:cs="宋体"/>
          <w:color w:val="auto"/>
          <w:sz w:val="24"/>
          <w:szCs w:val="24"/>
          <w:highlight w:val="none"/>
        </w:rPr>
      </w:pPr>
    </w:p>
    <w:p>
      <w:pPr>
        <w:wordWrap w:val="0"/>
        <w:spacing w:line="500" w:lineRule="exact"/>
        <w:ind w:right="480" w:firstLine="3480" w:firstLineChars="1450"/>
        <w:rPr>
          <w:rFonts w:ascii="宋体" w:hAnsi="宋体" w:cs="宋体"/>
          <w:color w:val="auto"/>
          <w:sz w:val="24"/>
          <w:szCs w:val="24"/>
          <w:highlight w:val="none"/>
          <w:u w:val="single"/>
        </w:rPr>
      </w:pPr>
    </w:p>
    <w:p>
      <w:pPr>
        <w:wordWrap w:val="0"/>
        <w:spacing w:line="500" w:lineRule="exact"/>
        <w:ind w:right="480" w:firstLine="3480" w:firstLineChars="1450"/>
        <w:rPr>
          <w:rFonts w:ascii="宋体" w:hAnsi="宋体" w:cs="宋体"/>
          <w:color w:val="auto"/>
          <w:sz w:val="24"/>
          <w:szCs w:val="24"/>
          <w:highlight w:val="none"/>
          <w:u w:val="single"/>
        </w:rPr>
      </w:pPr>
    </w:p>
    <w:p>
      <w:pPr>
        <w:wordWrap w:val="0"/>
        <w:spacing w:line="500" w:lineRule="exact"/>
        <w:ind w:right="480" w:firstLine="3480" w:firstLineChars="1450"/>
        <w:rPr>
          <w:rFonts w:ascii="宋体" w:hAnsi="宋体" w:cs="宋体"/>
          <w:color w:val="auto"/>
          <w:sz w:val="24"/>
          <w:szCs w:val="24"/>
          <w:highlight w:val="none"/>
          <w:u w:val="single"/>
        </w:rPr>
      </w:pPr>
    </w:p>
    <w:p>
      <w:pPr>
        <w:pStyle w:val="15"/>
        <w:rPr>
          <w:color w:val="auto"/>
          <w:highlight w:val="none"/>
        </w:rPr>
      </w:pPr>
    </w:p>
    <w:p>
      <w:pPr>
        <w:pStyle w:val="17"/>
        <w:jc w:val="left"/>
        <w:rPr>
          <w:color w:val="auto"/>
          <w:highlight w:val="none"/>
        </w:rPr>
      </w:pPr>
      <w:bookmarkStart w:id="45" w:name="_Toc23422"/>
      <w:bookmarkStart w:id="46" w:name="_Toc15396"/>
      <w:r>
        <w:rPr>
          <w:rFonts w:hint="eastAsia"/>
          <w:color w:val="auto"/>
          <w:highlight w:val="none"/>
        </w:rPr>
        <w:t>格式1-6</w:t>
      </w:r>
      <w:bookmarkEnd w:id="45"/>
      <w:bookmarkEnd w:id="46"/>
    </w:p>
    <w:p>
      <w:pPr>
        <w:pStyle w:val="4"/>
        <w:rPr>
          <w:color w:val="auto"/>
          <w:highlight w:val="none"/>
        </w:rPr>
      </w:pPr>
      <w:r>
        <w:rPr>
          <w:rFonts w:hint="eastAsia"/>
          <w:color w:val="auto"/>
          <w:highlight w:val="none"/>
        </w:rPr>
        <w:t>五、参选人基本情况表</w:t>
      </w:r>
    </w:p>
    <w:tbl>
      <w:tblPr>
        <w:tblStyle w:val="21"/>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992"/>
        <w:gridCol w:w="2835"/>
        <w:gridCol w:w="141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highlight w:val="none"/>
              </w:rPr>
            </w:pPr>
            <w:r>
              <w:rPr>
                <w:rFonts w:hint="eastAsia" w:ascii="宋体" w:hAnsi="宋体"/>
                <w:color w:val="auto"/>
                <w:sz w:val="24"/>
                <w:szCs w:val="24"/>
                <w:highlight w:val="none"/>
              </w:rPr>
              <w:t>供应商名称</w:t>
            </w:r>
          </w:p>
        </w:tc>
        <w:tc>
          <w:tcPr>
            <w:tcW w:w="7637" w:type="dxa"/>
            <w:gridSpan w:val="4"/>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highlight w:val="none"/>
              </w:rPr>
            </w:pPr>
            <w:r>
              <w:rPr>
                <w:rFonts w:hint="eastAsia" w:ascii="宋体" w:hAnsi="宋体"/>
                <w:color w:val="auto"/>
                <w:sz w:val="24"/>
                <w:szCs w:val="24"/>
                <w:highlight w:val="none"/>
              </w:rPr>
              <w:t>注册地址</w:t>
            </w:r>
          </w:p>
        </w:tc>
        <w:tc>
          <w:tcPr>
            <w:tcW w:w="3827" w:type="dxa"/>
            <w:gridSpan w:val="2"/>
          </w:tcPr>
          <w:p>
            <w:pPr>
              <w:spacing w:line="600" w:lineRule="exact"/>
              <w:jc w:val="left"/>
              <w:rPr>
                <w:rFonts w:ascii="宋体" w:hAnsi="宋体"/>
                <w:color w:val="auto"/>
                <w:sz w:val="24"/>
                <w:szCs w:val="24"/>
                <w:highlight w:val="none"/>
              </w:rPr>
            </w:pPr>
          </w:p>
        </w:tc>
        <w:tc>
          <w:tcPr>
            <w:tcW w:w="1418"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邮政编码</w:t>
            </w:r>
          </w:p>
        </w:tc>
        <w:tc>
          <w:tcPr>
            <w:tcW w:w="2392" w:type="dxa"/>
            <w:vAlign w:val="center"/>
          </w:tcPr>
          <w:p>
            <w:pPr>
              <w:spacing w:line="60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Merge w:val="restart"/>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联系方式</w:t>
            </w:r>
          </w:p>
        </w:tc>
        <w:tc>
          <w:tcPr>
            <w:tcW w:w="992"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2835" w:type="dxa"/>
            <w:vAlign w:val="center"/>
          </w:tcPr>
          <w:p>
            <w:pPr>
              <w:spacing w:line="600" w:lineRule="exact"/>
              <w:rPr>
                <w:rFonts w:ascii="宋体" w:hAnsi="宋体"/>
                <w:color w:val="auto"/>
                <w:sz w:val="24"/>
                <w:szCs w:val="24"/>
                <w:highlight w:val="none"/>
              </w:rPr>
            </w:pPr>
          </w:p>
        </w:tc>
        <w:tc>
          <w:tcPr>
            <w:tcW w:w="1418"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电话</w:t>
            </w:r>
          </w:p>
        </w:tc>
        <w:tc>
          <w:tcPr>
            <w:tcW w:w="2392" w:type="dxa"/>
            <w:vAlign w:val="center"/>
          </w:tcPr>
          <w:p>
            <w:pPr>
              <w:spacing w:line="600" w:lineRule="exac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Merge w:val="continue"/>
          </w:tcPr>
          <w:p>
            <w:pPr>
              <w:spacing w:line="600" w:lineRule="exact"/>
              <w:jc w:val="left"/>
              <w:rPr>
                <w:rFonts w:ascii="宋体" w:hAnsi="宋体"/>
                <w:color w:val="auto"/>
                <w:sz w:val="24"/>
                <w:szCs w:val="24"/>
                <w:highlight w:val="none"/>
              </w:rPr>
            </w:pPr>
          </w:p>
        </w:tc>
        <w:tc>
          <w:tcPr>
            <w:tcW w:w="992"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传真</w:t>
            </w:r>
          </w:p>
        </w:tc>
        <w:tc>
          <w:tcPr>
            <w:tcW w:w="2835" w:type="dxa"/>
            <w:vAlign w:val="center"/>
          </w:tcPr>
          <w:p>
            <w:pPr>
              <w:spacing w:line="600" w:lineRule="exact"/>
              <w:rPr>
                <w:rFonts w:ascii="宋体" w:hAnsi="宋体"/>
                <w:color w:val="auto"/>
                <w:sz w:val="24"/>
                <w:szCs w:val="24"/>
                <w:highlight w:val="none"/>
              </w:rPr>
            </w:pPr>
          </w:p>
        </w:tc>
        <w:tc>
          <w:tcPr>
            <w:tcW w:w="1418"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网址</w:t>
            </w:r>
          </w:p>
        </w:tc>
        <w:tc>
          <w:tcPr>
            <w:tcW w:w="2392" w:type="dxa"/>
            <w:vAlign w:val="center"/>
          </w:tcPr>
          <w:p>
            <w:pPr>
              <w:spacing w:line="6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highlight w:val="none"/>
              </w:rPr>
            </w:pPr>
            <w:r>
              <w:rPr>
                <w:rFonts w:hint="eastAsia" w:ascii="宋体" w:hAnsi="宋体"/>
                <w:color w:val="auto"/>
                <w:sz w:val="24"/>
                <w:szCs w:val="24"/>
                <w:highlight w:val="none"/>
              </w:rPr>
              <w:t>法定代表人</w:t>
            </w:r>
          </w:p>
        </w:tc>
        <w:tc>
          <w:tcPr>
            <w:tcW w:w="992"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2835" w:type="dxa"/>
            <w:vAlign w:val="center"/>
          </w:tcPr>
          <w:p>
            <w:pPr>
              <w:spacing w:line="600" w:lineRule="exact"/>
              <w:jc w:val="center"/>
              <w:rPr>
                <w:rFonts w:ascii="宋体" w:hAnsi="宋体"/>
                <w:color w:val="auto"/>
                <w:sz w:val="24"/>
                <w:szCs w:val="24"/>
                <w:highlight w:val="none"/>
              </w:rPr>
            </w:pPr>
          </w:p>
        </w:tc>
        <w:tc>
          <w:tcPr>
            <w:tcW w:w="1418"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电话</w:t>
            </w:r>
          </w:p>
        </w:tc>
        <w:tc>
          <w:tcPr>
            <w:tcW w:w="2392" w:type="dxa"/>
            <w:vAlign w:val="center"/>
          </w:tcPr>
          <w:p>
            <w:pPr>
              <w:spacing w:line="6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tcPr>
          <w:p>
            <w:pPr>
              <w:spacing w:line="600" w:lineRule="exact"/>
              <w:jc w:val="left"/>
              <w:rPr>
                <w:rFonts w:ascii="宋体" w:hAnsi="宋体"/>
                <w:color w:val="auto"/>
                <w:sz w:val="24"/>
                <w:szCs w:val="24"/>
                <w:highlight w:val="none"/>
              </w:rPr>
            </w:pPr>
            <w:r>
              <w:rPr>
                <w:rFonts w:hint="eastAsia" w:ascii="宋体" w:hAnsi="宋体"/>
                <w:color w:val="auto"/>
                <w:sz w:val="24"/>
                <w:szCs w:val="24"/>
                <w:highlight w:val="none"/>
              </w:rPr>
              <w:t>技术负责人</w:t>
            </w:r>
          </w:p>
        </w:tc>
        <w:tc>
          <w:tcPr>
            <w:tcW w:w="992"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2835" w:type="dxa"/>
            <w:vAlign w:val="center"/>
          </w:tcPr>
          <w:p>
            <w:pPr>
              <w:spacing w:line="600" w:lineRule="exact"/>
              <w:jc w:val="center"/>
              <w:rPr>
                <w:rFonts w:ascii="宋体" w:hAnsi="宋体"/>
                <w:color w:val="auto"/>
                <w:sz w:val="24"/>
                <w:szCs w:val="24"/>
                <w:highlight w:val="none"/>
              </w:rPr>
            </w:pPr>
          </w:p>
        </w:tc>
        <w:tc>
          <w:tcPr>
            <w:tcW w:w="1418"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电话</w:t>
            </w:r>
          </w:p>
        </w:tc>
        <w:tc>
          <w:tcPr>
            <w:tcW w:w="2392" w:type="dxa"/>
            <w:vAlign w:val="center"/>
          </w:tcPr>
          <w:p>
            <w:pPr>
              <w:spacing w:line="6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成立时间</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企业资质等级</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营业执照（法人证书）号</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注册资金</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开户银行</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账号</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5" w:type="dxa"/>
            <w:vAlign w:val="center"/>
          </w:tcPr>
          <w:p>
            <w:pPr>
              <w:spacing w:line="600" w:lineRule="exact"/>
              <w:jc w:val="center"/>
              <w:rPr>
                <w:rFonts w:ascii="宋体" w:hAnsi="宋体"/>
                <w:color w:val="auto"/>
                <w:sz w:val="24"/>
                <w:szCs w:val="24"/>
                <w:highlight w:val="none"/>
              </w:rPr>
            </w:pPr>
            <w:r>
              <w:rPr>
                <w:rFonts w:hint="eastAsia" w:ascii="宋体" w:hAnsi="宋体"/>
                <w:color w:val="auto"/>
                <w:sz w:val="24"/>
                <w:szCs w:val="24"/>
                <w:highlight w:val="none"/>
              </w:rPr>
              <w:t>经营范围</w:t>
            </w:r>
          </w:p>
        </w:tc>
        <w:tc>
          <w:tcPr>
            <w:tcW w:w="7637" w:type="dxa"/>
            <w:gridSpan w:val="4"/>
            <w:vAlign w:val="center"/>
          </w:tcPr>
          <w:p>
            <w:pPr>
              <w:spacing w:line="600" w:lineRule="exact"/>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1685"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7637" w:type="dxa"/>
            <w:gridSpan w:val="4"/>
            <w:vAlign w:val="center"/>
          </w:tcPr>
          <w:p>
            <w:pPr>
              <w:spacing w:line="700" w:lineRule="exact"/>
              <w:jc w:val="center"/>
              <w:rPr>
                <w:rFonts w:ascii="宋体" w:hAnsi="宋体"/>
                <w:color w:val="auto"/>
                <w:sz w:val="24"/>
                <w:szCs w:val="24"/>
                <w:highlight w:val="none"/>
              </w:rPr>
            </w:pPr>
          </w:p>
        </w:tc>
      </w:tr>
    </w:tbl>
    <w:p>
      <w:pPr>
        <w:pStyle w:val="17"/>
        <w:jc w:val="left"/>
        <w:outlineLvl w:val="9"/>
        <w:rPr>
          <w:color w:val="auto"/>
          <w:highlight w:val="none"/>
        </w:rPr>
        <w:sectPr>
          <w:pgSz w:w="11906" w:h="16838"/>
          <w:pgMar w:top="1440" w:right="1797" w:bottom="1440" w:left="1797" w:header="851" w:footer="992" w:gutter="0"/>
          <w:pgNumType w:fmt="decimal"/>
          <w:cols w:space="720" w:num="1"/>
          <w:docGrid w:linePitch="312" w:charSpace="0"/>
        </w:sectPr>
      </w:pPr>
    </w:p>
    <w:p>
      <w:pPr>
        <w:pStyle w:val="17"/>
        <w:jc w:val="left"/>
        <w:rPr>
          <w:color w:val="auto"/>
          <w:highlight w:val="none"/>
        </w:rPr>
      </w:pPr>
      <w:bookmarkStart w:id="47" w:name="_Toc6185"/>
      <w:bookmarkStart w:id="48" w:name="_Toc14064"/>
      <w:r>
        <w:rPr>
          <w:rFonts w:hint="eastAsia"/>
          <w:color w:val="auto"/>
          <w:highlight w:val="none"/>
        </w:rPr>
        <w:t>格式1-7</w:t>
      </w:r>
      <w:bookmarkEnd w:id="47"/>
      <w:bookmarkEnd w:id="48"/>
    </w:p>
    <w:p>
      <w:pPr>
        <w:pStyle w:val="4"/>
        <w:rPr>
          <w:color w:val="auto"/>
          <w:highlight w:val="none"/>
        </w:rPr>
      </w:pPr>
      <w:r>
        <w:rPr>
          <w:rFonts w:hint="eastAsia"/>
          <w:color w:val="auto"/>
          <w:highlight w:val="none"/>
        </w:rPr>
        <w:t>六、本项目拟派人员服务团代表</w:t>
      </w:r>
    </w:p>
    <w:tbl>
      <w:tblPr>
        <w:tblStyle w:val="21"/>
        <w:tblW w:w="985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921"/>
        <w:gridCol w:w="1205"/>
        <w:gridCol w:w="1275"/>
        <w:gridCol w:w="1560"/>
        <w:gridCol w:w="10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985"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921"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性别</w:t>
            </w:r>
          </w:p>
        </w:tc>
        <w:tc>
          <w:tcPr>
            <w:tcW w:w="1205"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职务</w:t>
            </w:r>
          </w:p>
        </w:tc>
        <w:tc>
          <w:tcPr>
            <w:tcW w:w="1275"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技术职称</w:t>
            </w:r>
          </w:p>
        </w:tc>
        <w:tc>
          <w:tcPr>
            <w:tcW w:w="1560"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证书名称</w:t>
            </w:r>
          </w:p>
        </w:tc>
        <w:tc>
          <w:tcPr>
            <w:tcW w:w="1045"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证书号</w:t>
            </w:r>
          </w:p>
        </w:tc>
        <w:tc>
          <w:tcPr>
            <w:tcW w:w="1046" w:type="dxa"/>
            <w:vAlign w:val="center"/>
          </w:tcPr>
          <w:p>
            <w:pPr>
              <w:spacing w:line="70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700" w:lineRule="exact"/>
              <w:jc w:val="center"/>
              <w:rPr>
                <w:rFonts w:ascii="宋体" w:hAnsi="宋体"/>
                <w:color w:val="auto"/>
                <w:sz w:val="24"/>
                <w:szCs w:val="24"/>
                <w:highlight w:val="none"/>
              </w:rPr>
            </w:pPr>
          </w:p>
        </w:tc>
        <w:tc>
          <w:tcPr>
            <w:tcW w:w="1985" w:type="dxa"/>
            <w:vAlign w:val="center"/>
          </w:tcPr>
          <w:p>
            <w:pPr>
              <w:spacing w:line="700" w:lineRule="exact"/>
              <w:jc w:val="center"/>
              <w:rPr>
                <w:rFonts w:ascii="宋体" w:hAnsi="宋体"/>
                <w:color w:val="auto"/>
                <w:sz w:val="24"/>
                <w:szCs w:val="24"/>
                <w:highlight w:val="none"/>
              </w:rPr>
            </w:pPr>
          </w:p>
        </w:tc>
        <w:tc>
          <w:tcPr>
            <w:tcW w:w="921" w:type="dxa"/>
            <w:vAlign w:val="center"/>
          </w:tcPr>
          <w:p>
            <w:pPr>
              <w:spacing w:line="700" w:lineRule="exact"/>
              <w:jc w:val="center"/>
              <w:rPr>
                <w:rFonts w:ascii="宋体" w:hAnsi="宋体"/>
                <w:color w:val="auto"/>
                <w:sz w:val="24"/>
                <w:szCs w:val="24"/>
                <w:highlight w:val="none"/>
              </w:rPr>
            </w:pPr>
          </w:p>
        </w:tc>
        <w:tc>
          <w:tcPr>
            <w:tcW w:w="1205" w:type="dxa"/>
            <w:vAlign w:val="center"/>
          </w:tcPr>
          <w:p>
            <w:pPr>
              <w:spacing w:line="700" w:lineRule="exact"/>
              <w:jc w:val="center"/>
              <w:rPr>
                <w:rFonts w:ascii="宋体" w:hAnsi="宋体"/>
                <w:color w:val="auto"/>
                <w:sz w:val="24"/>
                <w:szCs w:val="24"/>
                <w:highlight w:val="none"/>
              </w:rPr>
            </w:pPr>
          </w:p>
        </w:tc>
        <w:tc>
          <w:tcPr>
            <w:tcW w:w="1275" w:type="dxa"/>
            <w:vAlign w:val="center"/>
          </w:tcPr>
          <w:p>
            <w:pPr>
              <w:spacing w:line="700" w:lineRule="exact"/>
              <w:jc w:val="center"/>
              <w:rPr>
                <w:rFonts w:ascii="宋体" w:hAnsi="宋体"/>
                <w:color w:val="auto"/>
                <w:sz w:val="24"/>
                <w:szCs w:val="24"/>
                <w:highlight w:val="none"/>
              </w:rPr>
            </w:pPr>
          </w:p>
        </w:tc>
        <w:tc>
          <w:tcPr>
            <w:tcW w:w="1560" w:type="dxa"/>
            <w:vAlign w:val="center"/>
          </w:tcPr>
          <w:p>
            <w:pPr>
              <w:spacing w:line="700" w:lineRule="exact"/>
              <w:jc w:val="center"/>
              <w:rPr>
                <w:rFonts w:ascii="宋体" w:hAnsi="宋体"/>
                <w:color w:val="auto"/>
                <w:sz w:val="24"/>
                <w:szCs w:val="24"/>
                <w:highlight w:val="none"/>
              </w:rPr>
            </w:pPr>
          </w:p>
        </w:tc>
        <w:tc>
          <w:tcPr>
            <w:tcW w:w="1045" w:type="dxa"/>
            <w:vAlign w:val="center"/>
          </w:tcPr>
          <w:p>
            <w:pPr>
              <w:spacing w:line="700" w:lineRule="exact"/>
              <w:jc w:val="center"/>
              <w:rPr>
                <w:rFonts w:ascii="宋体" w:hAnsi="宋体"/>
                <w:color w:val="auto"/>
                <w:sz w:val="24"/>
                <w:szCs w:val="24"/>
                <w:highlight w:val="none"/>
              </w:rPr>
            </w:pPr>
          </w:p>
        </w:tc>
        <w:tc>
          <w:tcPr>
            <w:tcW w:w="1046" w:type="dxa"/>
            <w:vAlign w:val="center"/>
          </w:tcPr>
          <w:p>
            <w:pPr>
              <w:spacing w:line="700" w:lineRule="exact"/>
              <w:jc w:val="center"/>
              <w:rPr>
                <w:rFonts w:ascii="宋体" w:hAnsi="宋体"/>
                <w:color w:val="auto"/>
                <w:sz w:val="24"/>
                <w:szCs w:val="24"/>
                <w:highlight w:val="none"/>
              </w:rPr>
            </w:pPr>
          </w:p>
        </w:tc>
      </w:tr>
    </w:tbl>
    <w:p>
      <w:pPr>
        <w:spacing w:line="700" w:lineRule="exact"/>
        <w:jc w:val="left"/>
        <w:rPr>
          <w:rFonts w:ascii="宋体" w:hAnsi="宋体"/>
          <w:color w:val="auto"/>
          <w:sz w:val="24"/>
          <w:szCs w:val="24"/>
          <w:highlight w:val="none"/>
          <w:u w:val="single"/>
        </w:rPr>
      </w:pPr>
    </w:p>
    <w:p>
      <w:pPr>
        <w:spacing w:line="700" w:lineRule="exact"/>
        <w:jc w:val="left"/>
        <w:rPr>
          <w:rFonts w:ascii="宋体" w:hAnsi="宋体"/>
          <w:color w:val="auto"/>
          <w:sz w:val="24"/>
          <w:szCs w:val="24"/>
          <w:highlight w:val="none"/>
          <w:u w:val="single"/>
        </w:rPr>
      </w:pPr>
    </w:p>
    <w:p>
      <w:pPr>
        <w:spacing w:line="700" w:lineRule="exact"/>
        <w:jc w:val="left"/>
        <w:rPr>
          <w:rFonts w:ascii="宋体" w:hAnsi="宋体"/>
          <w:color w:val="auto"/>
          <w:sz w:val="30"/>
          <w:szCs w:val="30"/>
          <w:highlight w:val="none"/>
          <w:u w:val="single"/>
        </w:rPr>
      </w:pPr>
      <w:r>
        <w:rPr>
          <w:rFonts w:hint="eastAsia" w:ascii="宋体" w:hAnsi="宋体"/>
          <w:color w:val="auto"/>
          <w:sz w:val="30"/>
          <w:szCs w:val="30"/>
          <w:highlight w:val="none"/>
        </w:rPr>
        <w:t>供应商名称：</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（加盖单位公章）</w:t>
      </w:r>
    </w:p>
    <w:p>
      <w:pPr>
        <w:spacing w:line="700" w:lineRule="exact"/>
        <w:ind w:right="300"/>
        <w:jc w:val="left"/>
        <w:rPr>
          <w:rFonts w:ascii="宋体" w:hAnsi="宋体"/>
          <w:color w:val="auto"/>
          <w:sz w:val="30"/>
          <w:szCs w:val="30"/>
          <w:highlight w:val="none"/>
        </w:rPr>
      </w:pPr>
      <w:r>
        <w:rPr>
          <w:rFonts w:hint="eastAsia" w:ascii="宋体" w:hAnsi="宋体"/>
          <w:color w:val="auto"/>
          <w:sz w:val="30"/>
          <w:szCs w:val="30"/>
          <w:highlight w:val="none"/>
        </w:rPr>
        <w:t>法定代表人或委托代理人（</w:t>
      </w:r>
      <w:r>
        <w:rPr>
          <w:rFonts w:hint="eastAsia" w:asciiTheme="minorEastAsia" w:hAnsiTheme="minorEastAsia" w:eastAsiaTheme="minorEastAsia" w:cstheme="minorEastAsia"/>
          <w:bCs/>
          <w:color w:val="auto"/>
          <w:sz w:val="30"/>
          <w:szCs w:val="30"/>
          <w:highlight w:val="none"/>
        </w:rPr>
        <w:t>签字或加盖个人名章</w:t>
      </w:r>
      <w:r>
        <w:rPr>
          <w:rFonts w:hint="eastAsia" w:ascii="宋体" w:hAnsi="宋体"/>
          <w:color w:val="auto"/>
          <w:sz w:val="30"/>
          <w:szCs w:val="30"/>
          <w:highlight w:val="none"/>
        </w:rPr>
        <w:t>）：</w:t>
      </w:r>
    </w:p>
    <w:p>
      <w:pPr>
        <w:spacing w:line="700" w:lineRule="exact"/>
        <w:ind w:right="300"/>
        <w:jc w:val="left"/>
        <w:rPr>
          <w:rFonts w:ascii="宋体" w:hAnsi="宋体"/>
          <w:color w:val="auto"/>
          <w:sz w:val="30"/>
          <w:szCs w:val="30"/>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 w:val="30"/>
          <w:szCs w:val="30"/>
          <w:highlight w:val="none"/>
        </w:rPr>
        <w:t>日期：    年  月  日</w:t>
      </w:r>
    </w:p>
    <w:p>
      <w:pPr>
        <w:pStyle w:val="17"/>
        <w:jc w:val="left"/>
        <w:rPr>
          <w:color w:val="auto"/>
          <w:highlight w:val="none"/>
        </w:rPr>
      </w:pPr>
      <w:bookmarkStart w:id="49" w:name="_Toc10758"/>
      <w:bookmarkStart w:id="50" w:name="_Toc6850"/>
      <w:r>
        <w:rPr>
          <w:rFonts w:hint="eastAsia"/>
          <w:color w:val="auto"/>
          <w:highlight w:val="none"/>
        </w:rPr>
        <w:t>格式1-8</w:t>
      </w:r>
      <w:bookmarkEnd w:id="49"/>
      <w:bookmarkEnd w:id="50"/>
    </w:p>
    <w:p>
      <w:pPr>
        <w:pStyle w:val="4"/>
        <w:rPr>
          <w:color w:val="auto"/>
          <w:highlight w:val="none"/>
        </w:rPr>
      </w:pPr>
      <w:r>
        <w:rPr>
          <w:rFonts w:hint="eastAsia"/>
          <w:color w:val="auto"/>
          <w:highlight w:val="none"/>
        </w:rPr>
        <w:t>七、项目技术、服务及商务要求响应偏离表</w:t>
      </w:r>
    </w:p>
    <w:tbl>
      <w:tblPr>
        <w:tblStyle w:val="21"/>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460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990" w:type="dxa"/>
            <w:vAlign w:val="center"/>
          </w:tcPr>
          <w:p>
            <w:pPr>
              <w:jc w:val="center"/>
              <w:rPr>
                <w:rFonts w:ascii="宋体" w:hAnsi="宋体"/>
                <w:color w:val="auto"/>
                <w:sz w:val="24"/>
                <w:highlight w:val="none"/>
              </w:rPr>
            </w:pPr>
            <w:r>
              <w:rPr>
                <w:rFonts w:hint="eastAsia" w:ascii="宋体" w:hAnsi="宋体"/>
                <w:color w:val="auto"/>
                <w:sz w:val="24"/>
                <w:highlight w:val="none"/>
              </w:rPr>
              <w:t>包号</w:t>
            </w:r>
          </w:p>
        </w:tc>
        <w:tc>
          <w:tcPr>
            <w:tcW w:w="4600" w:type="dxa"/>
            <w:vAlign w:val="center"/>
          </w:tcPr>
          <w:p>
            <w:pPr>
              <w:jc w:val="center"/>
              <w:rPr>
                <w:rFonts w:ascii="宋体" w:hAnsi="宋体"/>
                <w:color w:val="auto"/>
                <w:sz w:val="24"/>
                <w:highlight w:val="none"/>
              </w:rPr>
            </w:pPr>
            <w:r>
              <w:rPr>
                <w:rFonts w:hint="eastAsia" w:ascii="宋体" w:hAnsi="宋体"/>
                <w:color w:val="auto"/>
                <w:sz w:val="24"/>
                <w:highlight w:val="none"/>
              </w:rPr>
              <w:t>询价文件要求</w:t>
            </w:r>
          </w:p>
        </w:tc>
        <w:tc>
          <w:tcPr>
            <w:tcW w:w="2795" w:type="dxa"/>
            <w:vAlign w:val="center"/>
          </w:tcPr>
          <w:p>
            <w:pPr>
              <w:jc w:val="center"/>
              <w:rPr>
                <w:rFonts w:ascii="宋体" w:hAnsi="宋体"/>
                <w:color w:val="auto"/>
                <w:sz w:val="24"/>
                <w:highlight w:val="none"/>
              </w:rPr>
            </w:pPr>
            <w:r>
              <w:rPr>
                <w:rFonts w:hint="eastAsia" w:ascii="宋体" w:hAnsi="宋体"/>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highlight w:val="none"/>
              </w:rPr>
            </w:pPr>
          </w:p>
        </w:tc>
        <w:tc>
          <w:tcPr>
            <w:tcW w:w="990" w:type="dxa"/>
          </w:tcPr>
          <w:p>
            <w:pPr>
              <w:jc w:val="center"/>
              <w:rPr>
                <w:rFonts w:ascii="宋体" w:hAnsi="宋体"/>
                <w:color w:val="auto"/>
                <w:sz w:val="24"/>
                <w:highlight w:val="none"/>
              </w:rPr>
            </w:pPr>
          </w:p>
        </w:tc>
        <w:tc>
          <w:tcPr>
            <w:tcW w:w="4600" w:type="dxa"/>
          </w:tcPr>
          <w:p>
            <w:pPr>
              <w:jc w:val="center"/>
              <w:rPr>
                <w:rFonts w:ascii="宋体" w:hAnsi="宋体"/>
                <w:color w:val="auto"/>
                <w:sz w:val="24"/>
                <w:highlight w:val="none"/>
              </w:rPr>
            </w:pPr>
          </w:p>
        </w:tc>
        <w:tc>
          <w:tcPr>
            <w:tcW w:w="2795"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highlight w:val="none"/>
              </w:rPr>
            </w:pPr>
          </w:p>
        </w:tc>
        <w:tc>
          <w:tcPr>
            <w:tcW w:w="990" w:type="dxa"/>
          </w:tcPr>
          <w:p>
            <w:pPr>
              <w:jc w:val="center"/>
              <w:rPr>
                <w:rFonts w:ascii="宋体" w:hAnsi="宋体"/>
                <w:color w:val="auto"/>
                <w:sz w:val="24"/>
                <w:highlight w:val="none"/>
              </w:rPr>
            </w:pPr>
          </w:p>
        </w:tc>
        <w:tc>
          <w:tcPr>
            <w:tcW w:w="4600" w:type="dxa"/>
          </w:tcPr>
          <w:p>
            <w:pPr>
              <w:jc w:val="center"/>
              <w:rPr>
                <w:rFonts w:ascii="宋体" w:hAnsi="宋体"/>
                <w:color w:val="auto"/>
                <w:sz w:val="24"/>
                <w:highlight w:val="none"/>
              </w:rPr>
            </w:pPr>
          </w:p>
        </w:tc>
        <w:tc>
          <w:tcPr>
            <w:tcW w:w="2795"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highlight w:val="none"/>
              </w:rPr>
            </w:pPr>
          </w:p>
        </w:tc>
        <w:tc>
          <w:tcPr>
            <w:tcW w:w="990" w:type="dxa"/>
          </w:tcPr>
          <w:p>
            <w:pPr>
              <w:jc w:val="center"/>
              <w:rPr>
                <w:rFonts w:ascii="宋体" w:hAnsi="宋体"/>
                <w:color w:val="auto"/>
                <w:sz w:val="24"/>
                <w:highlight w:val="none"/>
              </w:rPr>
            </w:pPr>
          </w:p>
        </w:tc>
        <w:tc>
          <w:tcPr>
            <w:tcW w:w="4600" w:type="dxa"/>
          </w:tcPr>
          <w:p>
            <w:pPr>
              <w:jc w:val="center"/>
              <w:rPr>
                <w:rFonts w:ascii="宋体" w:hAnsi="宋体"/>
                <w:color w:val="auto"/>
                <w:sz w:val="24"/>
                <w:highlight w:val="none"/>
              </w:rPr>
            </w:pPr>
          </w:p>
        </w:tc>
        <w:tc>
          <w:tcPr>
            <w:tcW w:w="2795" w:type="dxa"/>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highlight w:val="none"/>
              </w:rPr>
            </w:pPr>
          </w:p>
        </w:tc>
        <w:tc>
          <w:tcPr>
            <w:tcW w:w="990" w:type="dxa"/>
          </w:tcPr>
          <w:p>
            <w:pPr>
              <w:jc w:val="center"/>
              <w:rPr>
                <w:rFonts w:ascii="宋体" w:hAnsi="宋体"/>
                <w:color w:val="auto"/>
                <w:sz w:val="24"/>
                <w:highlight w:val="none"/>
              </w:rPr>
            </w:pPr>
          </w:p>
        </w:tc>
        <w:tc>
          <w:tcPr>
            <w:tcW w:w="4600" w:type="dxa"/>
          </w:tcPr>
          <w:p>
            <w:pPr>
              <w:jc w:val="center"/>
              <w:rPr>
                <w:rFonts w:ascii="宋体" w:hAnsi="宋体"/>
                <w:color w:val="auto"/>
                <w:sz w:val="24"/>
                <w:highlight w:val="none"/>
              </w:rPr>
            </w:pPr>
          </w:p>
        </w:tc>
        <w:tc>
          <w:tcPr>
            <w:tcW w:w="2795" w:type="dxa"/>
          </w:tcPr>
          <w:p>
            <w:pPr>
              <w:jc w:val="center"/>
              <w:rPr>
                <w:rFonts w:ascii="宋体" w:hAnsi="宋体"/>
                <w:color w:val="auto"/>
                <w:sz w:val="24"/>
                <w:highlight w:val="none"/>
              </w:rPr>
            </w:pPr>
          </w:p>
        </w:tc>
      </w:tr>
    </w:tbl>
    <w:p>
      <w:pPr>
        <w:ind w:firstLine="482" w:firstLineChars="200"/>
        <w:rPr>
          <w:rFonts w:ascii="宋体" w:hAnsi="宋体"/>
          <w:b/>
          <w:color w:val="auto"/>
          <w:sz w:val="24"/>
          <w:highlight w:val="none"/>
        </w:rPr>
      </w:pPr>
    </w:p>
    <w:p>
      <w:pPr>
        <w:ind w:firstLine="482" w:firstLineChars="200"/>
        <w:rPr>
          <w:rFonts w:ascii="宋体" w:hAnsi="宋体"/>
          <w:b/>
          <w:color w:val="auto"/>
          <w:sz w:val="24"/>
          <w:highlight w:val="none"/>
        </w:rPr>
      </w:pPr>
      <w:r>
        <w:rPr>
          <w:rFonts w:hint="eastAsia" w:ascii="宋体" w:hAnsi="宋体"/>
          <w:b/>
          <w:color w:val="auto"/>
          <w:sz w:val="24"/>
          <w:highlight w:val="none"/>
        </w:rPr>
        <w:t>注：此表用于项目技术、服务及商务要求未能响应时填写，投标供应商如果无偏离（正偏离/负偏离），可以不用填写此表，未填写此表视为投标供应商满足并接受本项目技术、服务及商务要求！</w:t>
      </w:r>
    </w:p>
    <w:p>
      <w:pPr>
        <w:adjustRightInd w:val="0"/>
        <w:spacing w:line="400" w:lineRule="exact"/>
        <w:ind w:firstLine="480" w:firstLineChars="200"/>
        <w:jc w:val="left"/>
        <w:rPr>
          <w:rFonts w:ascii="宋体" w:hAnsi="宋体"/>
          <w:color w:val="auto"/>
          <w:sz w:val="24"/>
          <w:highlight w:val="none"/>
        </w:rPr>
      </w:pPr>
    </w:p>
    <w:p>
      <w:pPr>
        <w:adjustRightIn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（加盖单位公章）</w:t>
      </w:r>
    </w:p>
    <w:p>
      <w:pPr>
        <w:adjustRightInd w:val="0"/>
        <w:spacing w:line="400" w:lineRule="exact"/>
        <w:ind w:firstLine="480" w:firstLineChars="200"/>
        <w:jc w:val="left"/>
        <w:rPr>
          <w:bCs/>
          <w:color w:val="auto"/>
          <w:sz w:val="24"/>
          <w:highlight w:val="none"/>
        </w:rPr>
      </w:pPr>
      <w:r>
        <w:rPr>
          <w:rFonts w:hint="eastAsia"/>
          <w:bCs/>
          <w:color w:val="auto"/>
          <w:sz w:val="24"/>
          <w:highlight w:val="none"/>
        </w:rPr>
        <w:t>法定代表人或委托代理人（</w:t>
      </w:r>
      <w:r>
        <w:rPr>
          <w:rFonts w:hint="eastAsia" w:asciiTheme="minorEastAsia" w:hAnsiTheme="minorEastAsia" w:eastAsiaTheme="minorEastAsia" w:cstheme="minorEastAsia"/>
          <w:bCs/>
          <w:color w:val="auto"/>
          <w:sz w:val="24"/>
          <w:highlight w:val="none"/>
        </w:rPr>
        <w:t>签字或加盖个人名章</w:t>
      </w:r>
      <w:r>
        <w:rPr>
          <w:rFonts w:hint="eastAsia"/>
          <w:bCs/>
          <w:color w:val="auto"/>
          <w:sz w:val="24"/>
          <w:highlight w:val="none"/>
        </w:rPr>
        <w:t>）：</w:t>
      </w:r>
    </w:p>
    <w:p>
      <w:pPr>
        <w:adjustRightInd w:val="0"/>
        <w:spacing w:line="400" w:lineRule="exact"/>
        <w:ind w:firstLine="540" w:firstLineChars="225"/>
        <w:jc w:val="left"/>
        <w:rPr>
          <w:bCs/>
          <w:color w:val="auto"/>
          <w:sz w:val="24"/>
          <w:highlight w:val="none"/>
        </w:rPr>
      </w:pPr>
      <w:r>
        <w:rPr>
          <w:rFonts w:hint="eastAsia"/>
          <w:bCs/>
          <w:color w:val="auto"/>
          <w:sz w:val="24"/>
          <w:highlight w:val="none"/>
        </w:rPr>
        <w:t>日  期</w:t>
      </w:r>
      <w:r>
        <w:rPr>
          <w:rFonts w:hint="eastAsia" w:ascii="宋体" w:hAnsi="宋体"/>
          <w:color w:val="auto"/>
          <w:sz w:val="24"/>
          <w:highlight w:val="none"/>
        </w:rPr>
        <w:t xml:space="preserve">：   </w:t>
      </w:r>
      <w:r>
        <w:rPr>
          <w:rFonts w:hint="eastAsia"/>
          <w:bCs/>
          <w:color w:val="auto"/>
          <w:sz w:val="24"/>
          <w:highlight w:val="none"/>
        </w:rPr>
        <w:t>年   月   日</w:t>
      </w:r>
    </w:p>
    <w:p>
      <w:pPr>
        <w:jc w:val="center"/>
        <w:rPr>
          <w:b/>
          <w:color w:val="auto"/>
          <w:sz w:val="30"/>
          <w:szCs w:val="30"/>
          <w:highlight w:val="none"/>
        </w:rPr>
      </w:pPr>
    </w:p>
    <w:p>
      <w:pPr>
        <w:jc w:val="center"/>
        <w:rPr>
          <w:b/>
          <w:color w:val="auto"/>
          <w:sz w:val="30"/>
          <w:szCs w:val="30"/>
          <w:highlight w:val="none"/>
        </w:rPr>
      </w:pPr>
    </w:p>
    <w:p>
      <w:pPr>
        <w:rPr>
          <w:color w:val="auto"/>
          <w:highlight w:val="none"/>
        </w:rPr>
      </w:pPr>
    </w:p>
    <w:p>
      <w:pPr>
        <w:pStyle w:val="15"/>
        <w:rPr>
          <w:color w:val="auto"/>
          <w:highlight w:val="none"/>
        </w:rPr>
      </w:pPr>
    </w:p>
    <w:p>
      <w:pPr>
        <w:rPr>
          <w:color w:val="auto"/>
          <w:highlight w:val="none"/>
        </w:rPr>
      </w:pPr>
    </w:p>
    <w:p>
      <w:pPr>
        <w:pStyle w:val="15"/>
        <w:rPr>
          <w:color w:val="auto"/>
          <w:highlight w:val="none"/>
        </w:rPr>
      </w:pPr>
    </w:p>
    <w:p>
      <w:pPr>
        <w:rPr>
          <w:color w:val="auto"/>
          <w:highlight w:val="none"/>
        </w:rPr>
      </w:pPr>
    </w:p>
    <w:p>
      <w:pPr>
        <w:pStyle w:val="15"/>
        <w:rPr>
          <w:color w:val="auto"/>
          <w:highlight w:val="none"/>
        </w:rPr>
      </w:pPr>
    </w:p>
    <w:p>
      <w:pPr>
        <w:rPr>
          <w:color w:val="auto"/>
          <w:highlight w:val="none"/>
        </w:rPr>
      </w:pPr>
    </w:p>
    <w:p>
      <w:pPr>
        <w:pStyle w:val="15"/>
        <w:rPr>
          <w:color w:val="auto"/>
          <w:highlight w:val="none"/>
        </w:rPr>
      </w:pPr>
    </w:p>
    <w:p>
      <w:pPr>
        <w:rPr>
          <w:color w:val="auto"/>
          <w:highlight w:val="none"/>
        </w:rPr>
      </w:pPr>
    </w:p>
    <w:p>
      <w:pPr>
        <w:pStyle w:val="17"/>
        <w:jc w:val="left"/>
        <w:rPr>
          <w:color w:val="auto"/>
          <w:highlight w:val="none"/>
        </w:rPr>
      </w:pPr>
      <w:bookmarkStart w:id="51" w:name="_Toc21086"/>
      <w:bookmarkStart w:id="52" w:name="_Toc14723"/>
      <w:r>
        <w:rPr>
          <w:rFonts w:hint="eastAsia"/>
          <w:color w:val="auto"/>
          <w:highlight w:val="none"/>
        </w:rPr>
        <w:t>格式1-9</w:t>
      </w:r>
      <w:bookmarkEnd w:id="51"/>
      <w:bookmarkEnd w:id="52"/>
    </w:p>
    <w:p>
      <w:pPr>
        <w:pStyle w:val="4"/>
        <w:rPr>
          <w:color w:val="auto"/>
          <w:highlight w:val="none"/>
        </w:rPr>
      </w:pPr>
      <w:r>
        <w:rPr>
          <w:rFonts w:hint="eastAsia"/>
          <w:color w:val="auto"/>
          <w:highlight w:val="none"/>
        </w:rPr>
        <w:t>八、承诺函</w:t>
      </w:r>
    </w:p>
    <w:p>
      <w:pPr>
        <w:spacing w:before="120" w:beforeLines="50" w:after="120" w:afterLines="50"/>
        <w:rPr>
          <w:rFonts w:asciiTheme="minorEastAsia" w:hAnsiTheme="minorEastAsia" w:eastAsiaTheme="minorEastAsia" w:cstheme="minorEastAsia"/>
          <w:bCs/>
          <w:color w:val="auto"/>
          <w:sz w:val="24"/>
          <w:highlight w:val="none"/>
        </w:rPr>
      </w:pPr>
      <w:r>
        <w:rPr>
          <w:rFonts w:hint="eastAsia" w:ascii="宋体" w:hAnsi="宋体" w:cs="宋体"/>
          <w:color w:val="auto"/>
          <w:sz w:val="24"/>
          <w:szCs w:val="24"/>
          <w:highlight w:val="none"/>
          <w:u w:val="single"/>
        </w:rPr>
        <w:t xml:space="preserve">        （采购人）</w:t>
      </w:r>
      <w:r>
        <w:rPr>
          <w:rFonts w:hint="eastAsia" w:asciiTheme="minorEastAsia" w:hAnsiTheme="minorEastAsia" w:eastAsiaTheme="minorEastAsia" w:cstheme="minorEastAsia"/>
          <w:bCs/>
          <w:color w:val="auto"/>
          <w:sz w:val="24"/>
          <w:highlight w:val="none"/>
        </w:rPr>
        <w:t>：</w:t>
      </w:r>
    </w:p>
    <w:p>
      <w:pPr>
        <w:pStyle w:val="15"/>
        <w:rPr>
          <w:rFonts w:asciiTheme="minorEastAsia" w:hAnsiTheme="minorEastAsia" w:eastAsiaTheme="minorEastAsia" w:cstheme="minorEastAsia"/>
          <w:b w:val="0"/>
          <w:color w:val="auto"/>
          <w:highlight w:val="none"/>
        </w:rPr>
      </w:pPr>
    </w:p>
    <w:p>
      <w:pPr>
        <w:spacing w:before="120" w:beforeLines="50" w:after="120" w:afterLines="50"/>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我单位作为本次采购项目的投标人，根据询价文件要求，现郑重承诺如下：</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（一）具有独立承担民事责任的能力；</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（二）具有良好的商业信誉和健全的财务会计制度；</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（三）具有履行合同所必需的设备和专业技术能力；</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（四）有依法缴纳税收和社会保障资金的良好记录；</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（五）参加采购活动前三年内，在经营活动中没有重大违法记录；</w:t>
      </w:r>
    </w:p>
    <w:p>
      <w:pPr>
        <w:pStyle w:val="7"/>
        <w:ind w:firstLine="480" w:firstLineChars="200"/>
        <w:rPr>
          <w:rFonts w:eastAsiaTheme="minorEastAsia"/>
          <w:color w:val="auto"/>
          <w:highlight w:val="none"/>
        </w:rPr>
      </w:pPr>
      <w:r>
        <w:rPr>
          <w:rFonts w:hint="eastAsia" w:asciiTheme="minorEastAsia" w:hAnsiTheme="minorEastAsia" w:eastAsiaTheme="minorEastAsia" w:cstheme="minorEastAsia"/>
          <w:bCs/>
          <w:color w:val="auto"/>
          <w:sz w:val="24"/>
          <w:highlight w:val="none"/>
        </w:rPr>
        <w:t>（六）</w:t>
      </w:r>
      <w:r>
        <w:rPr>
          <w:rFonts w:hint="eastAsia" w:ascii="宋体" w:hAnsi="宋体" w:cs="宋体"/>
          <w:color w:val="auto"/>
          <w:sz w:val="24"/>
          <w:szCs w:val="24"/>
          <w:highlight w:val="none"/>
        </w:rPr>
        <w:t>不向评标委员会组成人员或者其他有关人员索问评标过程的情况和材料。</w:t>
      </w:r>
    </w:p>
    <w:p>
      <w:pPr>
        <w:pStyle w:val="15"/>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如对询价文件有异议，已依法进行维权救济，不存在对询价文件有异议的同时又参加投标以求侥幸成交或者为实现其他非法目的的行为。</w:t>
      </w:r>
    </w:p>
    <w:p>
      <w:pPr>
        <w:spacing w:before="120" w:beforeLines="50" w:after="120" w:afterLines="50"/>
        <w:rPr>
          <w:rFonts w:asciiTheme="minorEastAsia" w:hAnsiTheme="minorEastAsia" w:eastAsiaTheme="minorEastAsia" w:cstheme="minorEastAsia"/>
          <w:bCs/>
          <w:color w:val="auto"/>
          <w:sz w:val="24"/>
          <w:highlight w:val="none"/>
        </w:rPr>
      </w:pPr>
    </w:p>
    <w:p>
      <w:pPr>
        <w:pStyle w:val="15"/>
        <w:rPr>
          <w:rFonts w:asciiTheme="minorEastAsia" w:hAnsiTheme="minorEastAsia" w:eastAsiaTheme="minorEastAsia" w:cstheme="minorEastAsia"/>
          <w:b w:val="0"/>
          <w:color w:val="auto"/>
          <w:sz w:val="24"/>
          <w:highlight w:val="none"/>
        </w:rPr>
      </w:pPr>
    </w:p>
    <w:p>
      <w:pPr>
        <w:rPr>
          <w:rFonts w:asciiTheme="minorEastAsia" w:hAnsiTheme="minorEastAsia" w:eastAsiaTheme="minorEastAsia" w:cstheme="minorEastAsia"/>
          <w:bCs/>
          <w:color w:val="auto"/>
          <w:sz w:val="24"/>
          <w:highlight w:val="none"/>
        </w:rPr>
      </w:pPr>
    </w:p>
    <w:p>
      <w:pPr>
        <w:rPr>
          <w:rFonts w:asciiTheme="minorEastAsia" w:hAnsiTheme="minorEastAsia" w:eastAsiaTheme="minorEastAsia" w:cstheme="minorEastAsia"/>
          <w:bCs/>
          <w:color w:val="auto"/>
          <w:highlight w:val="none"/>
        </w:rPr>
      </w:pPr>
    </w:p>
    <w:p>
      <w:pPr>
        <w:spacing w:before="120" w:beforeLines="50" w:after="120" w:afterLines="50"/>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本单位对上述承诺的内容事项真实性负责。如经查实上述承诺的内容事项存在虚假，我单位愿意接受以提供虚假材料谋取中标追究法律责任。</w:t>
      </w:r>
    </w:p>
    <w:p>
      <w:pPr>
        <w:spacing w:before="120" w:beforeLines="50" w:after="120" w:afterLines="50"/>
        <w:rPr>
          <w:rFonts w:asciiTheme="minorEastAsia" w:hAnsiTheme="minorEastAsia" w:eastAsiaTheme="minorEastAsia" w:cstheme="minorEastAsia"/>
          <w:bCs/>
          <w:color w:val="auto"/>
          <w:sz w:val="24"/>
          <w:highlight w:val="none"/>
        </w:rPr>
      </w:pPr>
    </w:p>
    <w:p>
      <w:pPr>
        <w:spacing w:before="120" w:beforeLines="50" w:after="120" w:afterLines="5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供应商名称：</w:t>
      </w:r>
      <w:r>
        <w:rPr>
          <w:rFonts w:hint="eastAsia" w:asciiTheme="minorEastAsia" w:hAnsiTheme="minorEastAsia" w:eastAsiaTheme="minorEastAsia" w:cstheme="minorEastAsia"/>
          <w:bCs/>
          <w:color w:val="auto"/>
          <w:sz w:val="24"/>
          <w:highlight w:val="none"/>
          <w:u w:val="single"/>
        </w:rPr>
        <w:t xml:space="preserve">                     （加盖单位公章）</w:t>
      </w:r>
    </w:p>
    <w:p>
      <w:pPr>
        <w:spacing w:before="120" w:beforeLines="50" w:after="120" w:afterLines="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法定代表人/委托代理人（签字或加盖个人名章）：</w:t>
      </w:r>
    </w:p>
    <w:p>
      <w:pPr>
        <w:spacing w:before="120" w:beforeLines="50" w:after="120" w:afterLines="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日    期：     年    月   日</w:t>
      </w:r>
    </w:p>
    <w:p>
      <w:pPr>
        <w:pStyle w:val="15"/>
        <w:rPr>
          <w:color w:val="auto"/>
          <w:highlight w:val="none"/>
        </w:rPr>
      </w:pPr>
    </w:p>
    <w:p>
      <w:pPr>
        <w:rPr>
          <w:color w:val="auto"/>
          <w:highlight w:val="none"/>
        </w:rPr>
        <w:sectPr>
          <w:pgSz w:w="11906" w:h="16838"/>
          <w:pgMar w:top="1440" w:right="1797" w:bottom="1440" w:left="1797" w:header="851" w:footer="992" w:gutter="0"/>
          <w:pgNumType w:fmt="decimal"/>
          <w:cols w:space="720" w:num="1"/>
          <w:docGrid w:linePitch="312" w:charSpace="0"/>
        </w:sectPr>
      </w:pPr>
    </w:p>
    <w:p>
      <w:pPr>
        <w:pStyle w:val="17"/>
        <w:jc w:val="left"/>
        <w:rPr>
          <w:color w:val="auto"/>
          <w:highlight w:val="none"/>
        </w:rPr>
      </w:pPr>
      <w:bookmarkStart w:id="53" w:name="_Toc9670"/>
      <w:bookmarkStart w:id="54" w:name="_Toc9023"/>
      <w:r>
        <w:rPr>
          <w:rFonts w:hint="eastAsia"/>
          <w:color w:val="auto"/>
          <w:highlight w:val="none"/>
        </w:rPr>
        <w:t>格式1-10</w:t>
      </w:r>
      <w:bookmarkEnd w:id="53"/>
      <w:bookmarkEnd w:id="54"/>
    </w:p>
    <w:p>
      <w:pPr>
        <w:pStyle w:val="4"/>
        <w:rPr>
          <w:color w:val="auto"/>
          <w:highlight w:val="none"/>
        </w:rPr>
        <w:sectPr>
          <w:pgSz w:w="11906" w:h="16838"/>
          <w:pgMar w:top="1440" w:right="1797" w:bottom="1440" w:left="1797" w:header="851" w:footer="992" w:gutter="0"/>
          <w:pgNumType w:fmt="decimal"/>
          <w:cols w:space="720" w:num="1"/>
          <w:docGrid w:linePitch="312" w:charSpace="0"/>
        </w:sectPr>
      </w:pPr>
      <w:r>
        <w:rPr>
          <w:rFonts w:hint="eastAsia"/>
          <w:color w:val="auto"/>
          <w:highlight w:val="none"/>
        </w:rPr>
        <w:t>九、其他资料</w:t>
      </w:r>
    </w:p>
    <w:p>
      <w:pPr>
        <w:pStyle w:val="17"/>
        <w:jc w:val="left"/>
        <w:rPr>
          <w:color w:val="auto"/>
          <w:highlight w:val="none"/>
        </w:rPr>
      </w:pPr>
      <w:bookmarkStart w:id="55" w:name="_Toc4858"/>
      <w:bookmarkStart w:id="56" w:name="_Toc9902"/>
      <w:r>
        <w:rPr>
          <w:rFonts w:hint="eastAsia"/>
          <w:color w:val="auto"/>
          <w:highlight w:val="none"/>
        </w:rPr>
        <w:t>格式1-10-1</w:t>
      </w:r>
      <w:bookmarkEnd w:id="55"/>
      <w:bookmarkEnd w:id="56"/>
    </w:p>
    <w:p>
      <w:pPr>
        <w:pStyle w:val="4"/>
        <w:rPr>
          <w:color w:val="auto"/>
          <w:highlight w:val="none"/>
        </w:rPr>
        <w:sectPr>
          <w:pgSz w:w="11906" w:h="16838"/>
          <w:pgMar w:top="1440" w:right="1797" w:bottom="1440" w:left="1797" w:header="851" w:footer="992" w:gutter="0"/>
          <w:pgNumType w:fmt="decimal"/>
          <w:cols w:space="720" w:num="1"/>
          <w:docGrid w:linePitch="312" w:charSpace="0"/>
        </w:sectPr>
      </w:pPr>
      <w:r>
        <w:rPr>
          <w:rFonts w:hint="eastAsia"/>
          <w:color w:val="auto"/>
          <w:highlight w:val="none"/>
        </w:rPr>
        <w:t>1、营业执照</w:t>
      </w:r>
    </w:p>
    <w:p>
      <w:pPr>
        <w:pStyle w:val="17"/>
        <w:jc w:val="left"/>
        <w:rPr>
          <w:color w:val="auto"/>
          <w:highlight w:val="none"/>
        </w:rPr>
      </w:pPr>
      <w:bookmarkStart w:id="57" w:name="_Toc28368"/>
      <w:bookmarkStart w:id="58" w:name="_Toc25251"/>
      <w:r>
        <w:rPr>
          <w:rFonts w:hint="eastAsia"/>
          <w:color w:val="auto"/>
          <w:highlight w:val="none"/>
        </w:rPr>
        <w:t>格式1-10-2</w:t>
      </w:r>
      <w:bookmarkEnd w:id="57"/>
      <w:bookmarkEnd w:id="58"/>
    </w:p>
    <w:p>
      <w:pPr>
        <w:rPr>
          <w:color w:val="auto"/>
          <w:highlight w:val="none"/>
        </w:rPr>
      </w:pPr>
    </w:p>
    <w:p>
      <w:pPr>
        <w:pStyle w:val="4"/>
        <w:rPr>
          <w:color w:val="auto"/>
          <w:highlight w:val="none"/>
        </w:rPr>
        <w:sectPr>
          <w:pgSz w:w="11906" w:h="16838"/>
          <w:pgMar w:top="1440" w:right="1797" w:bottom="1440" w:left="1797" w:header="851" w:footer="992" w:gutter="0"/>
          <w:pgNumType w:fmt="decimal"/>
          <w:cols w:space="720" w:num="1"/>
          <w:docGrid w:linePitch="312" w:charSpace="0"/>
        </w:sectPr>
      </w:pPr>
      <w:r>
        <w:rPr>
          <w:rFonts w:hint="eastAsia"/>
          <w:color w:val="auto"/>
          <w:highlight w:val="none"/>
        </w:rPr>
        <w:t>2、其他招标文件要求提供的资料（格式自拟）</w:t>
      </w:r>
    </w:p>
    <w:p>
      <w:pPr>
        <w:pStyle w:val="4"/>
        <w:tabs>
          <w:tab w:val="left" w:pos="709"/>
        </w:tabs>
        <w:jc w:val="left"/>
        <w:rPr>
          <w:color w:val="auto"/>
          <w:sz w:val="36"/>
          <w:szCs w:val="36"/>
          <w:highlight w:val="none"/>
        </w:rPr>
      </w:pPr>
      <w:r>
        <w:rPr>
          <w:rFonts w:hint="eastAsia"/>
          <w:color w:val="auto"/>
          <w:sz w:val="36"/>
          <w:szCs w:val="36"/>
          <w:highlight w:val="none"/>
        </w:rPr>
        <w:t>格式1-1</w:t>
      </w:r>
      <w:bookmarkStart w:id="59" w:name="_Toc527444257"/>
      <w:bookmarkStart w:id="60" w:name="_Toc522017606"/>
      <w:r>
        <w:rPr>
          <w:rFonts w:hint="eastAsia"/>
          <w:color w:val="auto"/>
          <w:sz w:val="36"/>
          <w:szCs w:val="36"/>
          <w:highlight w:val="none"/>
        </w:rPr>
        <w:t>1</w:t>
      </w:r>
    </w:p>
    <w:p>
      <w:pPr>
        <w:pStyle w:val="4"/>
        <w:tabs>
          <w:tab w:val="left" w:pos="709"/>
        </w:tabs>
        <w:rPr>
          <w:rFonts w:hAnsi="宋体"/>
          <w:bCs w:val="0"/>
          <w:color w:val="auto"/>
          <w:highlight w:val="none"/>
        </w:rPr>
      </w:pPr>
      <w:r>
        <w:rPr>
          <w:rFonts w:hint="eastAsia" w:hAnsi="宋体"/>
          <w:bCs w:val="0"/>
          <w:color w:val="auto"/>
          <w:highlight w:val="none"/>
        </w:rPr>
        <w:t>十、报价表</w:t>
      </w:r>
    </w:p>
    <w:p>
      <w:pPr>
        <w:spacing w:line="360" w:lineRule="auto"/>
        <w:ind w:firstLine="562" w:firstLineChars="200"/>
        <w:rPr>
          <w:rFonts w:hAnsi="宋体"/>
          <w:b/>
          <w:color w:val="auto"/>
          <w:sz w:val="28"/>
          <w:szCs w:val="28"/>
          <w:highlight w:val="none"/>
        </w:rPr>
      </w:pPr>
      <w:r>
        <w:rPr>
          <w:rFonts w:hint="eastAsia" w:hAnsi="宋体"/>
          <w:b/>
          <w:color w:val="auto"/>
          <w:sz w:val="28"/>
          <w:szCs w:val="28"/>
          <w:highlight w:val="none"/>
        </w:rPr>
        <w:t>项</w:t>
      </w:r>
      <w:r>
        <w:rPr>
          <w:rFonts w:hint="eastAsia" w:hAnsi="宋体"/>
          <w:b/>
          <w:color w:val="auto"/>
          <w:spacing w:val="-20"/>
          <w:sz w:val="28"/>
          <w:szCs w:val="28"/>
          <w:highlight w:val="none"/>
        </w:rPr>
        <w:t>目名称：</w:t>
      </w:r>
    </w:p>
    <w:p>
      <w:pPr>
        <w:pStyle w:val="44"/>
        <w:ind w:firstLineChars="176"/>
        <w:rPr>
          <w:color w:val="auto"/>
          <w:sz w:val="28"/>
          <w:highlight w:val="none"/>
        </w:rPr>
      </w:pPr>
    </w:p>
    <w:tbl>
      <w:tblPr>
        <w:tblStyle w:val="21"/>
        <w:tblW w:w="9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highlight w:val="none"/>
              </w:rPr>
            </w:pPr>
            <w:r>
              <w:rPr>
                <w:rFonts w:hint="eastAsia" w:hAnsi="宋体"/>
                <w:b/>
                <w:color w:val="auto"/>
                <w:sz w:val="28"/>
                <w:szCs w:val="28"/>
                <w:highlight w:val="none"/>
              </w:rPr>
              <w:t>序号</w:t>
            </w:r>
          </w:p>
        </w:tc>
        <w:tc>
          <w:tcPr>
            <w:tcW w:w="52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highlight w:val="none"/>
              </w:rPr>
            </w:pPr>
            <w:r>
              <w:rPr>
                <w:rFonts w:hint="eastAsia" w:hAnsi="宋体"/>
                <w:b/>
                <w:color w:val="auto"/>
                <w:sz w:val="28"/>
                <w:szCs w:val="28"/>
                <w:highlight w:val="none"/>
              </w:rPr>
              <w:t>服务内容</w:t>
            </w: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color w:val="auto"/>
                <w:sz w:val="28"/>
                <w:szCs w:val="28"/>
                <w:highlight w:val="none"/>
              </w:rPr>
            </w:pPr>
            <w:r>
              <w:rPr>
                <w:rFonts w:hint="eastAsia" w:hAnsi="宋体"/>
                <w:b/>
                <w:color w:val="auto"/>
                <w:sz w:val="28"/>
                <w:szCs w:val="28"/>
                <w:highlight w:val="none"/>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rPr>
            </w:pPr>
            <w:r>
              <w:rPr>
                <w:rFonts w:hint="eastAsia" w:hAnsi="宋体"/>
                <w:color w:val="auto"/>
                <w:sz w:val="28"/>
                <w:szCs w:val="28"/>
                <w:highlight w:val="none"/>
              </w:rPr>
              <w:t>1</w:t>
            </w:r>
          </w:p>
        </w:tc>
        <w:tc>
          <w:tcPr>
            <w:tcW w:w="5244" w:type="dxa"/>
            <w:tcBorders>
              <w:top w:val="single" w:color="auto" w:sz="4" w:space="0"/>
              <w:left w:val="single" w:color="auto" w:sz="4" w:space="0"/>
              <w:bottom w:val="single" w:color="auto" w:sz="4" w:space="0"/>
              <w:right w:val="single" w:color="auto" w:sz="4" w:space="0"/>
            </w:tcBorders>
            <w:vAlign w:val="center"/>
          </w:tcPr>
          <w:p>
            <w:pPr>
              <w:pStyle w:val="44"/>
              <w:ind w:firstLine="0"/>
              <w:rPr>
                <w:color w:val="auto"/>
                <w:sz w:val="28"/>
                <w:highlight w:val="none"/>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rPr>
            </w:pPr>
            <w:r>
              <w:rPr>
                <w:rFonts w:hint="eastAsia" w:hAnsi="宋体"/>
                <w:color w:val="auto"/>
                <w:sz w:val="28"/>
                <w:szCs w:val="28"/>
                <w:highlight w:val="none"/>
              </w:rPr>
              <w:t>2</w:t>
            </w:r>
          </w:p>
        </w:tc>
        <w:tc>
          <w:tcPr>
            <w:tcW w:w="5244" w:type="dxa"/>
            <w:tcBorders>
              <w:top w:val="single" w:color="auto" w:sz="4" w:space="0"/>
              <w:left w:val="single" w:color="auto" w:sz="4" w:space="0"/>
              <w:bottom w:val="single" w:color="auto" w:sz="4" w:space="0"/>
              <w:right w:val="single" w:color="auto" w:sz="4" w:space="0"/>
            </w:tcBorders>
            <w:vAlign w:val="center"/>
          </w:tcPr>
          <w:p>
            <w:pPr>
              <w:pStyle w:val="44"/>
              <w:ind w:firstLine="0"/>
              <w:rPr>
                <w:color w:val="auto"/>
                <w:sz w:val="28"/>
                <w:highlight w:val="none"/>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highlight w:val="none"/>
              </w:rPr>
            </w:pPr>
            <w:r>
              <w:rPr>
                <w:rFonts w:hint="eastAsia" w:hAnsi="宋体"/>
                <w:color w:val="auto"/>
                <w:sz w:val="28"/>
                <w:szCs w:val="28"/>
                <w:highlight w:val="none"/>
              </w:rPr>
              <w:t>3</w:t>
            </w:r>
          </w:p>
        </w:tc>
        <w:tc>
          <w:tcPr>
            <w:tcW w:w="5244" w:type="dxa"/>
            <w:tcBorders>
              <w:top w:val="single" w:color="auto" w:sz="4" w:space="0"/>
              <w:left w:val="single" w:color="auto" w:sz="4" w:space="0"/>
              <w:right w:val="single" w:color="auto" w:sz="4" w:space="0"/>
            </w:tcBorders>
            <w:vAlign w:val="center"/>
          </w:tcPr>
          <w:p>
            <w:pPr>
              <w:pStyle w:val="44"/>
              <w:ind w:firstLine="0"/>
              <w:rPr>
                <w:color w:val="auto"/>
                <w:sz w:val="28"/>
                <w:highlight w:val="none"/>
              </w:rPr>
            </w:pPr>
          </w:p>
        </w:tc>
        <w:tc>
          <w:tcPr>
            <w:tcW w:w="3348"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rPr>
            </w:pPr>
            <w:r>
              <w:rPr>
                <w:rFonts w:hint="eastAsia" w:hAnsi="宋体"/>
                <w:color w:val="auto"/>
                <w:sz w:val="28"/>
                <w:szCs w:val="28"/>
                <w:highlight w:val="none"/>
              </w:rP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44"/>
              <w:ind w:firstLine="0"/>
              <w:rPr>
                <w:color w:val="auto"/>
                <w:sz w:val="28"/>
                <w:highlight w:val="none"/>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olor w:val="auto"/>
                <w:sz w:val="28"/>
                <w:szCs w:val="28"/>
                <w:highlight w:val="none"/>
              </w:rPr>
            </w:pPr>
            <w:r>
              <w:rPr>
                <w:rFonts w:hint="eastAsia" w:hAnsi="宋体"/>
                <w:color w:val="auto"/>
                <w:sz w:val="28"/>
                <w:szCs w:val="28"/>
                <w:highlight w:val="none"/>
              </w:rPr>
              <w:t>合计</w:t>
            </w:r>
          </w:p>
        </w:tc>
        <w:tc>
          <w:tcPr>
            <w:tcW w:w="8592" w:type="dxa"/>
            <w:gridSpan w:val="2"/>
            <w:tcBorders>
              <w:top w:val="single" w:color="auto" w:sz="4" w:space="0"/>
              <w:left w:val="single" w:color="auto" w:sz="4" w:space="0"/>
              <w:right w:val="single" w:color="auto" w:sz="4" w:space="0"/>
            </w:tcBorders>
            <w:vAlign w:val="center"/>
          </w:tcPr>
          <w:p>
            <w:pPr>
              <w:spacing w:line="400" w:lineRule="exact"/>
              <w:jc w:val="left"/>
              <w:rPr>
                <w:rFonts w:hAnsi="宋体"/>
                <w:color w:val="auto"/>
                <w:sz w:val="28"/>
                <w:szCs w:val="28"/>
                <w:highlight w:val="none"/>
                <w:u w:val="single"/>
              </w:rPr>
            </w:pPr>
            <w:r>
              <w:rPr>
                <w:rFonts w:hint="eastAsia" w:hAnsi="宋体"/>
                <w:color w:val="auto"/>
                <w:sz w:val="28"/>
                <w:szCs w:val="28"/>
                <w:highlight w:val="none"/>
              </w:rPr>
              <w:t>小写：                    大写：</w:t>
            </w:r>
          </w:p>
        </w:tc>
      </w:tr>
    </w:tbl>
    <w:p>
      <w:pPr>
        <w:pStyle w:val="44"/>
        <w:rPr>
          <w:color w:val="auto"/>
          <w:sz w:val="28"/>
          <w:highlight w:val="none"/>
        </w:rPr>
      </w:pPr>
    </w:p>
    <w:p>
      <w:pPr>
        <w:pStyle w:val="44"/>
        <w:rPr>
          <w:color w:val="auto"/>
          <w:sz w:val="28"/>
          <w:highlight w:val="none"/>
        </w:rPr>
      </w:pPr>
      <w:r>
        <w:rPr>
          <w:rFonts w:hint="eastAsia"/>
          <w:color w:val="auto"/>
          <w:sz w:val="28"/>
          <w:highlight w:val="none"/>
        </w:rPr>
        <w:t>总报价（大写人民币）：</w:t>
      </w:r>
      <w:r>
        <w:rPr>
          <w:rFonts w:hint="eastAsia" w:hAnsi="宋体"/>
          <w:color w:val="auto"/>
          <w:sz w:val="28"/>
          <w:highlight w:val="none"/>
          <w:u w:val="single"/>
        </w:rPr>
        <w:t>　　     　　　　　　</w:t>
      </w:r>
    </w:p>
    <w:p>
      <w:pPr>
        <w:rPr>
          <w:color w:val="auto"/>
          <w:highlight w:val="none"/>
        </w:rPr>
      </w:pPr>
    </w:p>
    <w:p>
      <w:pPr>
        <w:pStyle w:val="44"/>
        <w:rPr>
          <w:color w:val="auto"/>
          <w:sz w:val="28"/>
          <w:highlight w:val="none"/>
        </w:rPr>
      </w:pPr>
    </w:p>
    <w:p>
      <w:pPr>
        <w:pStyle w:val="44"/>
        <w:ind w:firstLine="560" w:firstLineChars="200"/>
        <w:rPr>
          <w:color w:val="auto"/>
          <w:sz w:val="28"/>
          <w:highlight w:val="none"/>
        </w:rPr>
      </w:pPr>
      <w:r>
        <w:rPr>
          <w:rFonts w:hint="eastAsia"/>
          <w:color w:val="auto"/>
          <w:sz w:val="28"/>
          <w:highlight w:val="none"/>
        </w:rPr>
        <w:t>供应商名称：</w:t>
      </w:r>
      <w:r>
        <w:rPr>
          <w:rFonts w:hint="eastAsia" w:hAnsi="宋体"/>
          <w:color w:val="auto"/>
          <w:sz w:val="28"/>
          <w:highlight w:val="none"/>
          <w:u w:val="single"/>
        </w:rPr>
        <w:t>　　     　　　　　　</w:t>
      </w:r>
      <w:r>
        <w:rPr>
          <w:rFonts w:hint="eastAsia" w:hAnsi="宋体"/>
          <w:color w:val="auto"/>
          <w:spacing w:val="6"/>
          <w:sz w:val="28"/>
          <w:highlight w:val="none"/>
        </w:rPr>
        <w:t>(加盖单位公章)</w:t>
      </w:r>
    </w:p>
    <w:p>
      <w:pPr>
        <w:pStyle w:val="44"/>
        <w:ind w:firstLine="560" w:firstLineChars="200"/>
        <w:rPr>
          <w:rFonts w:hAnsi="宋体"/>
          <w:color w:val="auto"/>
          <w:sz w:val="28"/>
          <w:highlight w:val="none"/>
        </w:rPr>
      </w:pPr>
      <w:r>
        <w:rPr>
          <w:rFonts w:hint="eastAsia"/>
          <w:color w:val="auto"/>
          <w:sz w:val="28"/>
          <w:highlight w:val="none"/>
        </w:rPr>
        <w:t>法定代表人或委托代理人</w:t>
      </w:r>
      <w:r>
        <w:rPr>
          <w:rFonts w:hint="eastAsia" w:hAnsi="宋体"/>
          <w:color w:val="auto"/>
          <w:sz w:val="28"/>
          <w:highlight w:val="none"/>
        </w:rPr>
        <w:t>（</w:t>
      </w:r>
      <w:r>
        <w:rPr>
          <w:rFonts w:hint="eastAsia" w:asciiTheme="minorEastAsia" w:hAnsiTheme="minorEastAsia" w:eastAsiaTheme="minorEastAsia" w:cstheme="minorEastAsia"/>
          <w:bCs/>
          <w:color w:val="auto"/>
          <w:sz w:val="28"/>
          <w:highlight w:val="none"/>
        </w:rPr>
        <w:t>签字或加盖个人名章</w:t>
      </w:r>
      <w:r>
        <w:rPr>
          <w:rFonts w:hint="eastAsia" w:hAnsi="宋体"/>
          <w:color w:val="auto"/>
          <w:sz w:val="28"/>
          <w:highlight w:val="none"/>
        </w:rPr>
        <w:t>）</w:t>
      </w:r>
      <w:r>
        <w:rPr>
          <w:rFonts w:hint="eastAsia"/>
          <w:color w:val="auto"/>
          <w:sz w:val="28"/>
          <w:highlight w:val="none"/>
        </w:rPr>
        <w:t>：</w:t>
      </w:r>
    </w:p>
    <w:p>
      <w:pPr>
        <w:ind w:firstLine="560" w:firstLineChars="200"/>
        <w:rPr>
          <w:rFonts w:hAnsi="宋体" w:cs="宋体"/>
          <w:color w:val="auto"/>
          <w:highlight w:val="none"/>
        </w:rPr>
      </w:pPr>
      <w:r>
        <w:rPr>
          <w:rFonts w:hint="eastAsia"/>
          <w:color w:val="auto"/>
          <w:sz w:val="28"/>
          <w:highlight w:val="none"/>
        </w:rPr>
        <w:t>日期：</w:t>
      </w:r>
    </w:p>
    <w:p>
      <w:pPr>
        <w:rPr>
          <w:color w:val="auto"/>
          <w:highlight w:val="none"/>
        </w:rPr>
      </w:pPr>
    </w:p>
    <w:p>
      <w:pPr>
        <w:pStyle w:val="44"/>
        <w:ind w:firstLine="0"/>
        <w:rPr>
          <w:b/>
          <w:color w:val="auto"/>
          <w:sz w:val="28"/>
          <w:highlight w:val="none"/>
        </w:rPr>
      </w:pPr>
      <w:r>
        <w:rPr>
          <w:rFonts w:hint="eastAsia"/>
          <w:b/>
          <w:color w:val="auto"/>
          <w:sz w:val="28"/>
          <w:highlight w:val="none"/>
        </w:rPr>
        <w:t>说明：1、报价应是包括招标文件规定的全部响应内容的报价（包含成交供应商应承担的物耗、人工、税金、运输等）。</w:t>
      </w:r>
    </w:p>
    <w:p>
      <w:pPr>
        <w:pStyle w:val="17"/>
        <w:outlineLvl w:val="9"/>
        <w:rPr>
          <w:color w:val="auto"/>
          <w:highlight w:val="none"/>
        </w:rPr>
        <w:sectPr>
          <w:pgSz w:w="11906" w:h="16838"/>
          <w:pgMar w:top="1440" w:right="1797" w:bottom="1440" w:left="1797" w:header="851" w:footer="992" w:gutter="0"/>
          <w:pgNumType w:fmt="decimal"/>
          <w:cols w:space="720" w:num="1"/>
          <w:docGrid w:linePitch="312" w:charSpace="0"/>
        </w:sectPr>
      </w:pPr>
    </w:p>
    <w:p>
      <w:pPr>
        <w:pStyle w:val="17"/>
        <w:rPr>
          <w:color w:val="auto"/>
          <w:highlight w:val="none"/>
        </w:rPr>
      </w:pPr>
      <w:bookmarkStart w:id="61" w:name="_Toc1196"/>
      <w:bookmarkStart w:id="62" w:name="_Toc29497"/>
      <w:r>
        <w:rPr>
          <w:rFonts w:hint="eastAsia"/>
          <w:color w:val="auto"/>
          <w:highlight w:val="none"/>
        </w:rPr>
        <w:t>第六章 合同主要条款（草案）</w:t>
      </w:r>
      <w:bookmarkEnd w:id="59"/>
      <w:bookmarkEnd w:id="60"/>
      <w:bookmarkEnd w:id="61"/>
      <w:bookmarkEnd w:id="62"/>
    </w:p>
    <w:p>
      <w:pPr>
        <w:spacing w:line="360" w:lineRule="auto"/>
        <w:ind w:firstLine="420" w:firstLineChars="200"/>
        <w:rPr>
          <w:rFonts w:ascii="宋体" w:hAnsi="宋体"/>
          <w:color w:val="auto"/>
          <w:highlight w:val="none"/>
        </w:rPr>
      </w:pPr>
    </w:p>
    <w:p>
      <w:pPr>
        <w:rPr>
          <w:color w:val="auto"/>
          <w:highlight w:val="none"/>
        </w:rPr>
      </w:pPr>
    </w:p>
    <w:p>
      <w:pPr>
        <w:rPr>
          <w:color w:val="auto"/>
          <w:highlight w:val="none"/>
        </w:rPr>
      </w:pP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合同编号：</w:t>
      </w:r>
      <w:r>
        <w:rPr>
          <w:rFonts w:hint="eastAsia" w:ascii="宋体" w:hAnsi="宋体"/>
          <w:color w:val="auto"/>
          <w:sz w:val="28"/>
          <w:szCs w:val="28"/>
          <w:highlight w:val="none"/>
        </w:rPr>
        <w:t>XXXX。</w:t>
      </w: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签订地点：</w:t>
      </w:r>
      <w:r>
        <w:rPr>
          <w:rFonts w:hint="eastAsia" w:ascii="宋体" w:hAnsi="宋体"/>
          <w:color w:val="auto"/>
          <w:sz w:val="28"/>
          <w:szCs w:val="28"/>
          <w:highlight w:val="none"/>
        </w:rPr>
        <w:t>XXXX。</w:t>
      </w: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签订时间：</w:t>
      </w:r>
      <w:r>
        <w:rPr>
          <w:rFonts w:hint="eastAsia" w:ascii="宋体" w:hAnsi="宋体"/>
          <w:color w:val="auto"/>
          <w:sz w:val="28"/>
          <w:szCs w:val="28"/>
          <w:highlight w:val="none"/>
        </w:rPr>
        <w:t>XXXX</w:t>
      </w:r>
      <w:r>
        <w:rPr>
          <w:rFonts w:ascii="宋体" w:hAnsi="宋体"/>
          <w:color w:val="auto"/>
          <w:sz w:val="28"/>
          <w:szCs w:val="28"/>
          <w:highlight w:val="none"/>
        </w:rPr>
        <w:t>年</w:t>
      </w:r>
      <w:r>
        <w:rPr>
          <w:rFonts w:hint="eastAsia" w:ascii="宋体" w:hAnsi="宋体"/>
          <w:color w:val="auto"/>
          <w:sz w:val="28"/>
          <w:szCs w:val="28"/>
          <w:highlight w:val="none"/>
        </w:rPr>
        <w:t>XX</w:t>
      </w:r>
      <w:r>
        <w:rPr>
          <w:rFonts w:ascii="宋体" w:hAnsi="宋体"/>
          <w:color w:val="auto"/>
          <w:sz w:val="28"/>
          <w:szCs w:val="28"/>
          <w:highlight w:val="none"/>
        </w:rPr>
        <w:t>月</w:t>
      </w:r>
      <w:r>
        <w:rPr>
          <w:rFonts w:hint="eastAsia" w:ascii="宋体" w:hAnsi="宋体"/>
          <w:color w:val="auto"/>
          <w:sz w:val="28"/>
          <w:szCs w:val="28"/>
          <w:highlight w:val="none"/>
        </w:rPr>
        <w:t>XX</w:t>
      </w:r>
      <w:r>
        <w:rPr>
          <w:rFonts w:ascii="宋体" w:hAnsi="宋体"/>
          <w:color w:val="auto"/>
          <w:sz w:val="28"/>
          <w:szCs w:val="28"/>
          <w:highlight w:val="none"/>
        </w:rPr>
        <w:t>日</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采购人（</w:t>
      </w:r>
      <w:r>
        <w:rPr>
          <w:rFonts w:ascii="宋体" w:hAnsi="宋体"/>
          <w:color w:val="auto"/>
          <w:sz w:val="28"/>
          <w:szCs w:val="28"/>
          <w:highlight w:val="none"/>
        </w:rPr>
        <w:t>甲方</w:t>
      </w:r>
      <w:r>
        <w:rPr>
          <w:rFonts w:hint="eastAsia" w:ascii="宋体" w:hAnsi="宋体"/>
          <w:color w:val="auto"/>
          <w:sz w:val="28"/>
          <w:szCs w:val="28"/>
          <w:highlight w:val="none"/>
        </w:rPr>
        <w:t>）</w:t>
      </w:r>
      <w:r>
        <w:rPr>
          <w:rFonts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供应商（乙</w:t>
      </w:r>
      <w:r>
        <w:rPr>
          <w:rFonts w:ascii="宋体" w:hAnsi="宋体"/>
          <w:color w:val="auto"/>
          <w:sz w:val="28"/>
          <w:szCs w:val="28"/>
          <w:highlight w:val="none"/>
        </w:rPr>
        <w:t>方</w:t>
      </w:r>
      <w:r>
        <w:rPr>
          <w:rFonts w:hint="eastAsia" w:ascii="宋体" w:hAnsi="宋体"/>
          <w:color w:val="auto"/>
          <w:sz w:val="28"/>
          <w:szCs w:val="28"/>
          <w:highlight w:val="none"/>
        </w:rPr>
        <w:t>）</w:t>
      </w:r>
      <w:r>
        <w:rPr>
          <w:rFonts w:ascii="宋体" w:hAnsi="宋体"/>
          <w:color w:val="auto"/>
          <w:sz w:val="28"/>
          <w:szCs w:val="28"/>
          <w:highlight w:val="none"/>
        </w:rPr>
        <w:t>：</w:t>
      </w:r>
    </w:p>
    <w:p>
      <w:pPr>
        <w:spacing w:line="200" w:lineRule="exact"/>
        <w:ind w:firstLine="560" w:firstLineChars="200"/>
        <w:rPr>
          <w:rFonts w:ascii="宋体" w:hAnsi="宋体"/>
          <w:color w:val="auto"/>
          <w:sz w:val="28"/>
          <w:szCs w:val="28"/>
          <w:highlight w:val="none"/>
        </w:rPr>
      </w:pP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依据</w:t>
      </w:r>
      <w:r>
        <w:rPr>
          <w:rFonts w:hint="eastAsia" w:ascii="宋体" w:hAnsi="宋体"/>
          <w:color w:val="auto"/>
          <w:sz w:val="28"/>
          <w:szCs w:val="28"/>
          <w:highlight w:val="none"/>
        </w:rPr>
        <w:t>项目行业有关的法律法规，以及XXXX项目</w:t>
      </w:r>
      <w:r>
        <w:rPr>
          <w:rFonts w:ascii="宋体" w:hAnsi="宋体"/>
          <w:color w:val="auto"/>
          <w:sz w:val="28"/>
          <w:szCs w:val="28"/>
          <w:highlight w:val="none"/>
        </w:rPr>
        <w:t>的</w:t>
      </w:r>
      <w:r>
        <w:rPr>
          <w:rFonts w:hint="eastAsia" w:ascii="宋体" w:hAnsi="宋体"/>
          <w:color w:val="auto"/>
          <w:sz w:val="28"/>
          <w:szCs w:val="28"/>
          <w:highlight w:val="none"/>
        </w:rPr>
        <w:t>《招标文件》</w:t>
      </w:r>
      <w:r>
        <w:rPr>
          <w:rFonts w:ascii="宋体" w:hAnsi="宋体"/>
          <w:color w:val="auto"/>
          <w:sz w:val="28"/>
          <w:szCs w:val="28"/>
          <w:highlight w:val="none"/>
        </w:rPr>
        <w:t>，</w:t>
      </w:r>
      <w:r>
        <w:rPr>
          <w:rFonts w:hint="eastAsia" w:ascii="宋体" w:hAnsi="宋体"/>
          <w:color w:val="auto"/>
          <w:sz w:val="28"/>
          <w:szCs w:val="28"/>
          <w:highlight w:val="none"/>
        </w:rPr>
        <w:t>乙方的《投标文件》及《成交通知书》，甲、乙双方同意签订本合同。详细技术说明及其他有关合同项目的特定信息由合同附件予以说明，合同附件及本项目的《招标文件》、《投标文件》、《成交通知书》等均为本合同的组成部分。</w:t>
      </w: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项目基本情况</w:t>
      </w:r>
    </w:p>
    <w:p>
      <w:pPr>
        <w:spacing w:line="200" w:lineRule="exact"/>
        <w:ind w:firstLine="630"/>
        <w:rPr>
          <w:rFonts w:ascii="宋体" w:hAnsi="宋体"/>
          <w:b/>
          <w:color w:val="auto"/>
          <w:sz w:val="28"/>
          <w:szCs w:val="28"/>
          <w:highlight w:val="none"/>
        </w:rPr>
      </w:pP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合同期限</w:t>
      </w:r>
    </w:p>
    <w:p>
      <w:pPr>
        <w:spacing w:line="200" w:lineRule="exact"/>
        <w:ind w:firstLine="560" w:firstLineChars="200"/>
        <w:rPr>
          <w:rFonts w:ascii="宋体" w:hAnsi="宋体"/>
          <w:color w:val="auto"/>
          <w:sz w:val="28"/>
          <w:szCs w:val="28"/>
          <w:highlight w:val="none"/>
        </w:rPr>
      </w:pPr>
    </w:p>
    <w:p>
      <w:pPr>
        <w:numPr>
          <w:ilvl w:val="0"/>
          <w:numId w:val="3"/>
        </w:numPr>
        <w:spacing w:line="440" w:lineRule="exact"/>
        <w:rPr>
          <w:rFonts w:ascii="宋体" w:hAnsi="宋体"/>
          <w:b/>
          <w:color w:val="auto"/>
          <w:sz w:val="28"/>
          <w:szCs w:val="28"/>
          <w:highlight w:val="none"/>
        </w:rPr>
      </w:pPr>
      <w:bookmarkStart w:id="63" w:name="_Toc212019594"/>
      <w:bookmarkStart w:id="64" w:name="_Toc241833903"/>
      <w:bookmarkStart w:id="65" w:name="_Toc282696226"/>
      <w:bookmarkStart w:id="66" w:name="_Toc283019214"/>
      <w:bookmarkStart w:id="67" w:name="_Toc211911348"/>
      <w:bookmarkStart w:id="68" w:name="_Toc239233914"/>
      <w:bookmarkStart w:id="69" w:name="_Toc211854449"/>
      <w:bookmarkStart w:id="70" w:name="_Toc185395249"/>
      <w:bookmarkStart w:id="71" w:name="_Toc225244852"/>
      <w:bookmarkStart w:id="72" w:name="_Toc247334841"/>
      <w:bookmarkStart w:id="73" w:name="_Toc237145406"/>
      <w:bookmarkStart w:id="74" w:name="_Toc239568418"/>
      <w:bookmarkStart w:id="75" w:name="_Toc286993786"/>
      <w:bookmarkStart w:id="76" w:name="_Toc225670751"/>
      <w:bookmarkStart w:id="77" w:name="_Toc238984975"/>
      <w:bookmarkStart w:id="78" w:name="_Toc225654644"/>
      <w:bookmarkStart w:id="79" w:name="_Toc232492928"/>
      <w:bookmarkStart w:id="80" w:name="_Toc251768862"/>
      <w:r>
        <w:rPr>
          <w:rFonts w:hint="eastAsia" w:ascii="宋体" w:hAnsi="宋体"/>
          <w:b/>
          <w:color w:val="auto"/>
          <w:sz w:val="28"/>
          <w:szCs w:val="28"/>
          <w:highlight w:val="none"/>
        </w:rPr>
        <w:t>服务内容与质量标准</w:t>
      </w:r>
    </w:p>
    <w:p>
      <w:pPr>
        <w:spacing w:line="440" w:lineRule="exact"/>
        <w:ind w:left="567"/>
        <w:rPr>
          <w:rFonts w:ascii="宋体" w:hAnsi="宋体"/>
          <w:color w:val="auto"/>
          <w:sz w:val="28"/>
          <w:szCs w:val="28"/>
          <w:highlight w:val="none"/>
        </w:rPr>
      </w:pPr>
      <w:r>
        <w:rPr>
          <w:rFonts w:hint="eastAsia" w:ascii="宋体" w:hAnsi="宋体"/>
          <w:color w:val="auto"/>
          <w:sz w:val="28"/>
          <w:szCs w:val="28"/>
          <w:highlight w:val="none"/>
        </w:rPr>
        <w:t>1、XXXX；</w:t>
      </w:r>
    </w:p>
    <w:p>
      <w:pPr>
        <w:spacing w:line="440" w:lineRule="exact"/>
        <w:ind w:left="567"/>
        <w:rPr>
          <w:rFonts w:ascii="宋体" w:hAnsi="宋体"/>
          <w:color w:val="auto"/>
          <w:sz w:val="28"/>
          <w:szCs w:val="28"/>
          <w:highlight w:val="none"/>
        </w:rPr>
      </w:pPr>
      <w:r>
        <w:rPr>
          <w:rFonts w:hint="eastAsia" w:ascii="宋体" w:hAnsi="宋体"/>
          <w:color w:val="auto"/>
          <w:sz w:val="28"/>
          <w:szCs w:val="28"/>
          <w:highlight w:val="none"/>
        </w:rPr>
        <w:t>2、XXXX；</w:t>
      </w:r>
    </w:p>
    <w:p>
      <w:pPr>
        <w:spacing w:line="440" w:lineRule="exact"/>
        <w:ind w:left="567"/>
        <w:rPr>
          <w:rFonts w:ascii="宋体" w:hAnsi="宋体"/>
          <w:color w:val="auto"/>
          <w:sz w:val="28"/>
          <w:szCs w:val="28"/>
          <w:highlight w:val="none"/>
        </w:rPr>
      </w:pPr>
      <w:r>
        <w:rPr>
          <w:rFonts w:hint="eastAsia" w:ascii="宋体" w:hAnsi="宋体"/>
          <w:color w:val="auto"/>
          <w:sz w:val="28"/>
          <w:szCs w:val="28"/>
          <w:highlight w:val="none"/>
        </w:rPr>
        <w:t>3、XXXX．</w:t>
      </w:r>
    </w:p>
    <w:p>
      <w:pPr>
        <w:spacing w:line="440" w:lineRule="exact"/>
        <w:ind w:firstLine="630"/>
        <w:rPr>
          <w:rFonts w:ascii="宋体" w:hAnsi="宋体"/>
          <w:color w:val="auto"/>
          <w:sz w:val="28"/>
          <w:szCs w:val="28"/>
          <w:highlight w:val="none"/>
        </w:rPr>
      </w:pPr>
      <w:r>
        <w:rPr>
          <w:rFonts w:ascii="宋体" w:hAnsi="宋体"/>
          <w:color w:val="auto"/>
          <w:sz w:val="28"/>
          <w:szCs w:val="28"/>
          <w:highlight w:val="none"/>
        </w:rPr>
        <w:t>…</w:t>
      </w:r>
    </w:p>
    <w:p>
      <w:pPr>
        <w:numPr>
          <w:ilvl w:val="0"/>
          <w:numId w:val="3"/>
        </w:numPr>
        <w:spacing w:line="440" w:lineRule="exact"/>
        <w:rPr>
          <w:rFonts w:ascii="宋体" w:hAnsi="宋体"/>
          <w:b/>
          <w:color w:val="auto"/>
          <w:sz w:val="28"/>
          <w:szCs w:val="28"/>
          <w:highlight w:val="none"/>
        </w:rPr>
      </w:pPr>
      <w:r>
        <w:rPr>
          <w:rFonts w:hint="eastAsia" w:ascii="宋体" w:hAnsi="宋体"/>
          <w:b/>
          <w:color w:val="auto"/>
          <w:sz w:val="28"/>
          <w:szCs w:val="28"/>
          <w:highlight w:val="none"/>
        </w:rPr>
        <w:t>服务费用及支付方式</w:t>
      </w:r>
    </w:p>
    <w:p>
      <w:pPr>
        <w:numPr>
          <w:ilvl w:val="0"/>
          <w:numId w:val="4"/>
        </w:numPr>
        <w:spacing w:line="44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本项目服务费用由以下组成：</w:t>
      </w:r>
    </w:p>
    <w:p>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1、XX万元；</w:t>
      </w:r>
    </w:p>
    <w:p>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2、XX万元；</w:t>
      </w:r>
    </w:p>
    <w:p>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3、XX万元。</w:t>
      </w:r>
    </w:p>
    <w:p>
      <w:pPr>
        <w:spacing w:line="44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p>
    <w:p>
      <w:pPr>
        <w:numPr>
          <w:ilvl w:val="0"/>
          <w:numId w:val="4"/>
        </w:numPr>
        <w:tabs>
          <w:tab w:val="left" w:pos="780"/>
        </w:tabs>
        <w:spacing w:line="440" w:lineRule="exact"/>
        <w:ind w:left="0" w:firstLine="567"/>
        <w:rPr>
          <w:rFonts w:ascii="宋体" w:hAnsi="宋体"/>
          <w:b/>
          <w:color w:val="auto"/>
          <w:sz w:val="28"/>
          <w:szCs w:val="28"/>
          <w:highlight w:val="none"/>
        </w:rPr>
      </w:pPr>
      <w:r>
        <w:rPr>
          <w:rFonts w:hint="eastAsia" w:ascii="宋体" w:hAnsi="宋体"/>
          <w:b/>
          <w:color w:val="auto"/>
          <w:sz w:val="28"/>
          <w:szCs w:val="28"/>
          <w:highlight w:val="none"/>
        </w:rPr>
        <w:t xml:space="preserve">服务费支付方式： </w:t>
      </w:r>
    </w:p>
    <w:p>
      <w:pPr>
        <w:numPr>
          <w:ilvl w:val="0"/>
          <w:numId w:val="3"/>
        </w:numPr>
        <w:spacing w:line="440" w:lineRule="exact"/>
        <w:rPr>
          <w:rFonts w:ascii="宋体" w:hAnsi="宋体"/>
          <w:b/>
          <w:color w:val="auto"/>
          <w:sz w:val="28"/>
          <w:szCs w:val="28"/>
          <w:highlight w:val="none"/>
        </w:rPr>
      </w:pPr>
      <w:r>
        <w:rPr>
          <w:rFonts w:hint="eastAsia" w:ascii="宋体" w:hAnsi="宋体"/>
          <w:b/>
          <w:color w:val="auto"/>
          <w:sz w:val="28"/>
          <w:szCs w:val="28"/>
          <w:highlight w:val="none"/>
        </w:rPr>
        <w:t>知识产权</w:t>
      </w:r>
    </w:p>
    <w:p>
      <w:pPr>
        <w:tabs>
          <w:tab w:val="left" w:pos="144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乙方应保证所提供的服务或其任何一部分均不会侵犯任何第三方的专利权、商标权或著作权。</w:t>
      </w: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无产权瑕疵条款</w:t>
      </w:r>
    </w:p>
    <w:p>
      <w:pPr>
        <w:tabs>
          <w:tab w:val="left" w:pos="144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履约保证金（本项目不适用）</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1、乙方交纳人民币</w:t>
      </w:r>
      <w:r>
        <w:rPr>
          <w:rFonts w:hint="eastAsia" w:ascii="宋体" w:hAnsi="宋体"/>
          <w:color w:val="auto"/>
          <w:sz w:val="28"/>
          <w:szCs w:val="28"/>
          <w:highlight w:val="none"/>
        </w:rPr>
        <w:t>XX</w:t>
      </w:r>
      <w:r>
        <w:rPr>
          <w:rFonts w:hint="eastAsia" w:ascii="宋体" w:hAnsi="宋体"/>
          <w:bCs/>
          <w:color w:val="auto"/>
          <w:sz w:val="28"/>
          <w:szCs w:val="28"/>
          <w:highlight w:val="none"/>
        </w:rPr>
        <w:t>元作为本合同的履约保证金。</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2、履约保证金作为违约金的一部分及用于补偿甲方因乙方不能履行合同义务而蒙受的损失。</w:t>
      </w:r>
    </w:p>
    <w:p>
      <w:pPr>
        <w:numPr>
          <w:ilvl w:val="0"/>
          <w:numId w:val="3"/>
        </w:numPr>
        <w:spacing w:line="360" w:lineRule="auto"/>
        <w:rPr>
          <w:rFonts w:ascii="宋体" w:hAnsi="宋体"/>
          <w:b/>
          <w:color w:val="auto"/>
          <w:sz w:val="28"/>
          <w:szCs w:val="28"/>
          <w:highlight w:val="none"/>
        </w:rPr>
      </w:pPr>
      <w:r>
        <w:rPr>
          <w:rFonts w:ascii="宋体" w:hAnsi="宋体"/>
          <w:b/>
          <w:color w:val="auto"/>
          <w:sz w:val="28"/>
          <w:szCs w:val="28"/>
          <w:highlight w:val="none"/>
        </w:rPr>
        <w:t>甲方的权利和义务</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1、</w:t>
      </w:r>
      <w:r>
        <w:rPr>
          <w:rFonts w:ascii="宋体" w:hAnsi="宋体"/>
          <w:bCs/>
          <w:color w:val="auto"/>
          <w:sz w:val="28"/>
          <w:szCs w:val="28"/>
          <w:highlight w:val="none"/>
        </w:rPr>
        <w:t>甲方有权对合同规定范围内</w:t>
      </w:r>
      <w:r>
        <w:rPr>
          <w:rFonts w:hint="eastAsia" w:ascii="宋体" w:hAnsi="宋体"/>
          <w:bCs/>
          <w:color w:val="auto"/>
          <w:sz w:val="28"/>
          <w:szCs w:val="28"/>
          <w:highlight w:val="none"/>
        </w:rPr>
        <w:t>乙方的服务行为</w:t>
      </w:r>
      <w:r>
        <w:rPr>
          <w:rFonts w:ascii="宋体" w:hAnsi="宋体"/>
          <w:bCs/>
          <w:color w:val="auto"/>
          <w:sz w:val="28"/>
          <w:szCs w:val="28"/>
          <w:highlight w:val="none"/>
        </w:rPr>
        <w:t>进行监督和检查，拥有监管权。有权定期核对乙方提供服务所配备的人员数量。对甲方认为不合理的部分有权</w:t>
      </w:r>
      <w:r>
        <w:rPr>
          <w:rFonts w:hint="eastAsia" w:ascii="宋体" w:hAnsi="宋体"/>
          <w:bCs/>
          <w:color w:val="auto"/>
          <w:sz w:val="28"/>
          <w:szCs w:val="28"/>
          <w:highlight w:val="none"/>
        </w:rPr>
        <w:t>下达整改通知书，并</w:t>
      </w:r>
      <w:r>
        <w:rPr>
          <w:rFonts w:ascii="宋体" w:hAnsi="宋体"/>
          <w:bCs/>
          <w:color w:val="auto"/>
          <w:sz w:val="28"/>
          <w:szCs w:val="28"/>
          <w:highlight w:val="none"/>
        </w:rPr>
        <w:t>要求乙方</w:t>
      </w:r>
      <w:r>
        <w:rPr>
          <w:rFonts w:hint="eastAsia" w:ascii="宋体" w:hAnsi="宋体"/>
          <w:bCs/>
          <w:color w:val="auto"/>
          <w:sz w:val="28"/>
          <w:szCs w:val="28"/>
          <w:highlight w:val="none"/>
        </w:rPr>
        <w:t>限期整改</w:t>
      </w:r>
      <w:r>
        <w:rPr>
          <w:rFonts w:ascii="宋体" w:hAnsi="宋体"/>
          <w:bCs/>
          <w:color w:val="auto"/>
          <w:sz w:val="28"/>
          <w:szCs w:val="28"/>
          <w:highlight w:val="none"/>
        </w:rPr>
        <w:t>。</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2、甲方有权依据双方签订的考评办法对乙方提供的服务进行定期考评。当考评结果未达到标准时，有权依据考评办法约定的数额扣除履约保证金。</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3、</w:t>
      </w:r>
      <w:r>
        <w:rPr>
          <w:rFonts w:ascii="宋体" w:hAnsi="宋体"/>
          <w:bCs/>
          <w:color w:val="auto"/>
          <w:sz w:val="28"/>
          <w:szCs w:val="28"/>
          <w:highlight w:val="none"/>
        </w:rPr>
        <w:t>负责检查监督乙方管理工作的实施及制度的执行情况。</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4、</w:t>
      </w:r>
      <w:r>
        <w:rPr>
          <w:rFonts w:ascii="宋体" w:hAnsi="宋体"/>
          <w:bCs/>
          <w:color w:val="auto"/>
          <w:sz w:val="28"/>
          <w:szCs w:val="28"/>
          <w:highlight w:val="none"/>
        </w:rPr>
        <w:t>根据本合同规定，按时向乙方支付应付</w:t>
      </w:r>
      <w:r>
        <w:rPr>
          <w:rFonts w:hint="eastAsia" w:ascii="宋体" w:hAnsi="宋体"/>
          <w:bCs/>
          <w:color w:val="auto"/>
          <w:sz w:val="28"/>
          <w:szCs w:val="28"/>
          <w:highlight w:val="none"/>
        </w:rPr>
        <w:t>服务费用</w:t>
      </w:r>
      <w:r>
        <w:rPr>
          <w:rFonts w:ascii="宋体" w:hAnsi="宋体"/>
          <w:bCs/>
          <w:color w:val="auto"/>
          <w:sz w:val="28"/>
          <w:szCs w:val="28"/>
          <w:highlight w:val="none"/>
        </w:rPr>
        <w:t>。</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5、</w:t>
      </w:r>
      <w:r>
        <w:rPr>
          <w:rFonts w:ascii="宋体" w:hAnsi="宋体"/>
          <w:bCs/>
          <w:color w:val="auto"/>
          <w:sz w:val="28"/>
          <w:szCs w:val="28"/>
          <w:highlight w:val="none"/>
        </w:rPr>
        <w:t>国家法律、法规所规定由甲方承担的其它责任。</w:t>
      </w:r>
    </w:p>
    <w:p>
      <w:pPr>
        <w:numPr>
          <w:ilvl w:val="0"/>
          <w:numId w:val="3"/>
        </w:numPr>
        <w:spacing w:line="360" w:lineRule="auto"/>
        <w:rPr>
          <w:rFonts w:ascii="宋体" w:hAnsi="宋体"/>
          <w:b/>
          <w:color w:val="auto"/>
          <w:sz w:val="28"/>
          <w:szCs w:val="28"/>
          <w:highlight w:val="none"/>
        </w:rPr>
      </w:pPr>
      <w:r>
        <w:rPr>
          <w:rFonts w:ascii="宋体" w:hAnsi="宋体"/>
          <w:b/>
          <w:color w:val="auto"/>
          <w:sz w:val="28"/>
          <w:szCs w:val="28"/>
          <w:highlight w:val="none"/>
        </w:rPr>
        <w:t>乙方的权利和义务</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1、</w:t>
      </w:r>
      <w:r>
        <w:rPr>
          <w:rFonts w:ascii="宋体" w:hAnsi="宋体"/>
          <w:bCs/>
          <w:color w:val="auto"/>
          <w:sz w:val="28"/>
          <w:szCs w:val="28"/>
          <w:highlight w:val="none"/>
        </w:rPr>
        <w:t>对本合同规定的委托</w:t>
      </w:r>
      <w:r>
        <w:rPr>
          <w:rFonts w:hint="eastAsia" w:ascii="宋体" w:hAnsi="宋体"/>
          <w:bCs/>
          <w:color w:val="auto"/>
          <w:sz w:val="28"/>
          <w:szCs w:val="28"/>
          <w:highlight w:val="none"/>
        </w:rPr>
        <w:t>服务</w:t>
      </w:r>
      <w:r>
        <w:rPr>
          <w:rFonts w:ascii="宋体" w:hAnsi="宋体"/>
          <w:bCs/>
          <w:color w:val="auto"/>
          <w:sz w:val="28"/>
          <w:szCs w:val="28"/>
          <w:highlight w:val="none"/>
        </w:rPr>
        <w:t>范围内的</w:t>
      </w:r>
      <w:r>
        <w:rPr>
          <w:rFonts w:hint="eastAsia" w:ascii="宋体" w:hAnsi="宋体"/>
          <w:bCs/>
          <w:color w:val="auto"/>
          <w:sz w:val="28"/>
          <w:szCs w:val="28"/>
          <w:highlight w:val="none"/>
        </w:rPr>
        <w:t>项目</w:t>
      </w:r>
      <w:r>
        <w:rPr>
          <w:rFonts w:ascii="宋体" w:hAnsi="宋体"/>
          <w:bCs/>
          <w:color w:val="auto"/>
          <w:sz w:val="28"/>
          <w:szCs w:val="28"/>
          <w:highlight w:val="none"/>
        </w:rPr>
        <w:t>享有管理权及服务义务。</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2、</w:t>
      </w:r>
      <w:r>
        <w:rPr>
          <w:rFonts w:ascii="宋体" w:hAnsi="宋体"/>
          <w:bCs/>
          <w:color w:val="auto"/>
          <w:sz w:val="28"/>
          <w:szCs w:val="28"/>
          <w:highlight w:val="none"/>
        </w:rPr>
        <w:t>根据本合同的规定向甲方收取相关</w:t>
      </w:r>
      <w:r>
        <w:rPr>
          <w:rFonts w:hint="eastAsia" w:ascii="宋体" w:hAnsi="宋体"/>
          <w:bCs/>
          <w:color w:val="auto"/>
          <w:sz w:val="28"/>
          <w:szCs w:val="28"/>
          <w:highlight w:val="none"/>
        </w:rPr>
        <w:t>服务</w:t>
      </w:r>
      <w:r>
        <w:rPr>
          <w:rFonts w:ascii="宋体" w:hAnsi="宋体"/>
          <w:bCs/>
          <w:color w:val="auto"/>
          <w:sz w:val="28"/>
          <w:szCs w:val="28"/>
          <w:highlight w:val="none"/>
        </w:rPr>
        <w:t>费用，并有权</w:t>
      </w:r>
      <w:r>
        <w:rPr>
          <w:rFonts w:hint="eastAsia" w:ascii="宋体" w:hAnsi="宋体"/>
          <w:bCs/>
          <w:color w:val="auto"/>
          <w:sz w:val="28"/>
          <w:szCs w:val="28"/>
          <w:highlight w:val="none"/>
        </w:rPr>
        <w:t>在本项目管理范围内</w:t>
      </w:r>
      <w:r>
        <w:rPr>
          <w:rFonts w:ascii="宋体" w:hAnsi="宋体"/>
          <w:bCs/>
          <w:color w:val="auto"/>
          <w:sz w:val="28"/>
          <w:szCs w:val="28"/>
          <w:highlight w:val="none"/>
        </w:rPr>
        <w:t>管理及合理使用。</w:t>
      </w:r>
    </w:p>
    <w:p>
      <w:pPr>
        <w:spacing w:line="360" w:lineRule="auto"/>
        <w:ind w:firstLine="560" w:firstLineChars="200"/>
        <w:textAlignment w:val="baseline"/>
        <w:rPr>
          <w:rFonts w:ascii="宋体" w:hAnsi="宋体"/>
          <w:color w:val="auto"/>
          <w:sz w:val="28"/>
          <w:szCs w:val="28"/>
          <w:highlight w:val="none"/>
        </w:rPr>
      </w:pPr>
      <w:r>
        <w:rPr>
          <w:rFonts w:hint="eastAsia" w:ascii="宋体" w:hAnsi="宋体"/>
          <w:color w:val="auto"/>
          <w:sz w:val="28"/>
          <w:szCs w:val="28"/>
          <w:highlight w:val="none"/>
        </w:rPr>
        <w:t>3、及时向甲方通告本项目服务范围内有关服务的重大事项，及时配合处理投诉。</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color w:val="auto"/>
          <w:sz w:val="28"/>
          <w:szCs w:val="28"/>
          <w:highlight w:val="none"/>
        </w:rPr>
        <w:t>4、</w:t>
      </w:r>
      <w:r>
        <w:rPr>
          <w:rFonts w:ascii="宋体" w:hAnsi="宋体"/>
          <w:bCs/>
          <w:color w:val="auto"/>
          <w:sz w:val="28"/>
          <w:szCs w:val="28"/>
          <w:highlight w:val="none"/>
        </w:rPr>
        <w:t>接受</w:t>
      </w:r>
      <w:r>
        <w:rPr>
          <w:rFonts w:hint="eastAsia" w:ascii="宋体" w:hAnsi="宋体"/>
          <w:bCs/>
          <w:color w:val="auto"/>
          <w:sz w:val="28"/>
          <w:szCs w:val="28"/>
          <w:highlight w:val="none"/>
        </w:rPr>
        <w:t>项目行</w:t>
      </w:r>
      <w:r>
        <w:rPr>
          <w:rFonts w:ascii="宋体" w:hAnsi="宋体"/>
          <w:bCs/>
          <w:color w:val="auto"/>
          <w:sz w:val="28"/>
          <w:szCs w:val="28"/>
          <w:highlight w:val="none"/>
        </w:rPr>
        <w:t>业管理部门及有关部门的指导，接受甲方的监督。</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5、</w:t>
      </w:r>
      <w:r>
        <w:rPr>
          <w:rFonts w:ascii="宋体" w:hAnsi="宋体"/>
          <w:bCs/>
          <w:color w:val="auto"/>
          <w:sz w:val="28"/>
          <w:szCs w:val="28"/>
          <w:highlight w:val="none"/>
        </w:rPr>
        <w:t>国家法律、法规所规定由乙方承担的其它责任。</w:t>
      </w:r>
    </w:p>
    <w:p>
      <w:pPr>
        <w:numPr>
          <w:ilvl w:val="0"/>
          <w:numId w:val="3"/>
        </w:numPr>
        <w:spacing w:line="360" w:lineRule="auto"/>
        <w:rPr>
          <w:rFonts w:ascii="宋体" w:hAnsi="宋体"/>
          <w:b/>
          <w:color w:val="auto"/>
          <w:sz w:val="28"/>
          <w:szCs w:val="28"/>
          <w:highlight w:val="none"/>
        </w:rPr>
      </w:pPr>
      <w:r>
        <w:rPr>
          <w:rFonts w:ascii="宋体" w:hAnsi="宋体"/>
          <w:b/>
          <w:color w:val="auto"/>
          <w:sz w:val="28"/>
          <w:szCs w:val="28"/>
          <w:highlight w:val="none"/>
        </w:rPr>
        <w:t>违约责任</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1、</w:t>
      </w:r>
      <w:r>
        <w:rPr>
          <w:rFonts w:ascii="宋体" w:hAnsi="宋体"/>
          <w:bCs/>
          <w:color w:val="auto"/>
          <w:sz w:val="28"/>
          <w:szCs w:val="28"/>
          <w:highlight w:val="none"/>
        </w:rPr>
        <w:t>甲乙双方必须遵守本合同并执行合同中的各项规定，保证</w:t>
      </w:r>
      <w:r>
        <w:rPr>
          <w:rFonts w:hint="eastAsia" w:ascii="宋体" w:hAnsi="宋体"/>
          <w:bCs/>
          <w:color w:val="auto"/>
          <w:sz w:val="28"/>
          <w:szCs w:val="28"/>
          <w:highlight w:val="none"/>
        </w:rPr>
        <w:t>本</w:t>
      </w:r>
      <w:r>
        <w:rPr>
          <w:rFonts w:ascii="宋体" w:hAnsi="宋体"/>
          <w:bCs/>
          <w:color w:val="auto"/>
          <w:sz w:val="28"/>
          <w:szCs w:val="28"/>
          <w:highlight w:val="none"/>
        </w:rPr>
        <w:t>合同的正常</w:t>
      </w:r>
      <w:r>
        <w:rPr>
          <w:rFonts w:hint="eastAsia" w:ascii="宋体" w:hAnsi="宋体"/>
          <w:bCs/>
          <w:color w:val="auto"/>
          <w:sz w:val="28"/>
          <w:szCs w:val="28"/>
          <w:highlight w:val="none"/>
        </w:rPr>
        <w:t>履行</w:t>
      </w:r>
      <w:r>
        <w:rPr>
          <w:rFonts w:ascii="宋体" w:hAnsi="宋体"/>
          <w:bCs/>
          <w:color w:val="auto"/>
          <w:sz w:val="28"/>
          <w:szCs w:val="28"/>
          <w:highlight w:val="none"/>
        </w:rPr>
        <w:t>。</w:t>
      </w:r>
    </w:p>
    <w:p>
      <w:pPr>
        <w:spacing w:line="360" w:lineRule="auto"/>
        <w:ind w:firstLine="560" w:firstLineChars="200"/>
        <w:textAlignment w:val="baseline"/>
        <w:rPr>
          <w:rFonts w:ascii="宋体" w:hAnsi="宋体"/>
          <w:bCs/>
          <w:color w:val="auto"/>
          <w:sz w:val="28"/>
          <w:szCs w:val="28"/>
          <w:highlight w:val="none"/>
        </w:rPr>
      </w:pPr>
      <w:r>
        <w:rPr>
          <w:rFonts w:hint="eastAsia" w:ascii="宋体" w:hAnsi="宋体"/>
          <w:bCs/>
          <w:color w:val="auto"/>
          <w:sz w:val="28"/>
          <w:szCs w:val="28"/>
          <w:highlight w:val="none"/>
        </w:rPr>
        <w:t>2、</w:t>
      </w:r>
      <w:r>
        <w:rPr>
          <w:rFonts w:ascii="宋体" w:hAnsi="宋体"/>
          <w:bCs/>
          <w:color w:val="auto"/>
          <w:sz w:val="28"/>
          <w:szCs w:val="28"/>
          <w:highlight w:val="none"/>
        </w:rPr>
        <w:t>如因乙方</w:t>
      </w:r>
      <w:r>
        <w:rPr>
          <w:rFonts w:hint="eastAsia" w:ascii="宋体" w:hAnsi="宋体"/>
          <w:bCs/>
          <w:color w:val="auto"/>
          <w:sz w:val="28"/>
          <w:szCs w:val="28"/>
          <w:highlight w:val="none"/>
        </w:rPr>
        <w:t>工作人员在履行职务过程中的</w:t>
      </w:r>
      <w:r>
        <w:rPr>
          <w:rFonts w:ascii="宋体" w:hAnsi="宋体"/>
          <w:bCs/>
          <w:color w:val="auto"/>
          <w:sz w:val="28"/>
          <w:szCs w:val="28"/>
          <w:highlight w:val="none"/>
        </w:rPr>
        <w:t>的疏忽、失职、过错等</w:t>
      </w:r>
      <w:r>
        <w:rPr>
          <w:rFonts w:hint="eastAsia" w:ascii="宋体" w:hAnsi="宋体"/>
          <w:bCs/>
          <w:color w:val="auto"/>
          <w:sz w:val="28"/>
          <w:szCs w:val="28"/>
          <w:highlight w:val="none"/>
        </w:rPr>
        <w:t>故意或者过失</w:t>
      </w:r>
      <w:r>
        <w:rPr>
          <w:rFonts w:ascii="宋体" w:hAnsi="宋体"/>
          <w:bCs/>
          <w:color w:val="auto"/>
          <w:sz w:val="28"/>
          <w:szCs w:val="28"/>
          <w:highlight w:val="none"/>
        </w:rPr>
        <w:t>原因给甲方造成损失或侵害，</w:t>
      </w:r>
      <w:r>
        <w:rPr>
          <w:rFonts w:hint="eastAsia" w:ascii="宋体" w:hAnsi="宋体"/>
          <w:bCs/>
          <w:color w:val="auto"/>
          <w:sz w:val="28"/>
          <w:szCs w:val="28"/>
          <w:highlight w:val="none"/>
        </w:rPr>
        <w:t>包括但不限于甲方本身的财产损失、由此而导致的甲方对任何第三方的法律责任等，乙方对此均应承担全部的赔偿责任</w:t>
      </w:r>
      <w:r>
        <w:rPr>
          <w:rFonts w:ascii="宋体" w:hAnsi="宋体"/>
          <w:bCs/>
          <w:color w:val="auto"/>
          <w:sz w:val="28"/>
          <w:szCs w:val="28"/>
          <w:highlight w:val="none"/>
        </w:rPr>
        <w:t>。</w:t>
      </w: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不可抗力事件处理</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1、在合同有效期内，任何一方因不可抗力事件导致不能履行合同，则合同履行期可延长，其延长期与不可抗力影响期相同。</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2、不可抗力事件发生后，应立即通知对方，并寄送有关权威机构出具的证明。</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3、不可抗力事件延续XX天以上，双方应通过友好协商，确定是否继续履行合同。</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Pr>
        <w:numPr>
          <w:ilvl w:val="0"/>
          <w:numId w:val="3"/>
        </w:numPr>
        <w:spacing w:line="360" w:lineRule="auto"/>
        <w:rPr>
          <w:rFonts w:ascii="宋体" w:hAnsi="宋体"/>
          <w:b/>
          <w:color w:val="auto"/>
          <w:sz w:val="28"/>
          <w:szCs w:val="28"/>
          <w:highlight w:val="none"/>
        </w:rPr>
      </w:pPr>
      <w:bookmarkStart w:id="81" w:name="_Toc225244857"/>
      <w:bookmarkStart w:id="82" w:name="_Toc237145411"/>
      <w:bookmarkStart w:id="83" w:name="_Toc211854454"/>
      <w:bookmarkStart w:id="84" w:name="_Toc225670756"/>
      <w:bookmarkStart w:id="85" w:name="_Toc232492933"/>
      <w:bookmarkStart w:id="86" w:name="_Toc247334846"/>
      <w:bookmarkStart w:id="87" w:name="_Toc238984980"/>
      <w:bookmarkStart w:id="88" w:name="_Toc239568423"/>
      <w:bookmarkStart w:id="89" w:name="_Toc251768867"/>
      <w:bookmarkStart w:id="90" w:name="_Toc212019599"/>
      <w:bookmarkStart w:id="91" w:name="_Toc239233919"/>
      <w:bookmarkStart w:id="92" w:name="_Toc286993792"/>
      <w:bookmarkStart w:id="93" w:name="_Toc211911353"/>
      <w:bookmarkStart w:id="94" w:name="_Toc185395254"/>
      <w:bookmarkStart w:id="95" w:name="_Toc225654649"/>
      <w:bookmarkStart w:id="96" w:name="_Toc241833908"/>
      <w:r>
        <w:rPr>
          <w:rFonts w:hint="eastAsia" w:ascii="宋体" w:hAnsi="宋体"/>
          <w:b/>
          <w:color w:val="auto"/>
          <w:sz w:val="28"/>
          <w:szCs w:val="28"/>
          <w:highlight w:val="none"/>
        </w:rPr>
        <w:t>解</w:t>
      </w:r>
      <w:r>
        <w:rPr>
          <w:rFonts w:ascii="宋体" w:hAnsi="宋体"/>
          <w:b/>
          <w:color w:val="auto"/>
          <w:sz w:val="28"/>
          <w:szCs w:val="28"/>
          <w:highlight w:val="none"/>
        </w:rPr>
        <w:t>决合同纠纷的方式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在执行本合同中发生的或与本合同有关的争端，双方应通过友好协商解决，经协商在</w:t>
      </w:r>
      <w:r>
        <w:rPr>
          <w:rFonts w:hint="eastAsia" w:ascii="宋体" w:hAnsi="宋体"/>
          <w:color w:val="auto"/>
          <w:sz w:val="28"/>
          <w:szCs w:val="28"/>
          <w:highlight w:val="none"/>
        </w:rPr>
        <w:t>XX</w:t>
      </w:r>
      <w:r>
        <w:rPr>
          <w:rFonts w:ascii="宋体" w:hAnsi="宋体"/>
          <w:color w:val="auto"/>
          <w:sz w:val="28"/>
          <w:szCs w:val="28"/>
          <w:highlight w:val="none"/>
        </w:rPr>
        <w:t>天内不能达成协议时，应提交</w:t>
      </w:r>
      <w:r>
        <w:rPr>
          <w:rFonts w:hint="eastAsia" w:ascii="宋体" w:hAnsi="宋体"/>
          <w:color w:val="auto"/>
          <w:sz w:val="28"/>
          <w:szCs w:val="28"/>
          <w:highlight w:val="none"/>
        </w:rPr>
        <w:t>崇州</w:t>
      </w:r>
      <w:r>
        <w:rPr>
          <w:rFonts w:ascii="宋体" w:hAnsi="宋体"/>
          <w:color w:val="auto"/>
          <w:sz w:val="28"/>
          <w:szCs w:val="28"/>
          <w:highlight w:val="none"/>
        </w:rPr>
        <w:t>仲裁委员会仲裁。</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仲裁裁决应为最终决定，并对双方具有约束力。</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 xml:space="preserve">除另有裁决外，仲裁费应由败诉方负担。 </w:t>
      </w:r>
    </w:p>
    <w:p>
      <w:pPr>
        <w:tabs>
          <w:tab w:val="left" w:pos="0"/>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 xml:space="preserve">在仲裁期间，除正在进行仲裁部分外，合同其他部分继续执行。  </w:t>
      </w:r>
    </w:p>
    <w:p>
      <w:pPr>
        <w:numPr>
          <w:ilvl w:val="0"/>
          <w:numId w:val="3"/>
        </w:numPr>
        <w:spacing w:line="360" w:lineRule="auto"/>
        <w:rPr>
          <w:rFonts w:ascii="宋体" w:hAnsi="宋体"/>
          <w:b/>
          <w:color w:val="auto"/>
          <w:sz w:val="28"/>
          <w:szCs w:val="28"/>
          <w:highlight w:val="none"/>
        </w:rPr>
      </w:pPr>
      <w:bookmarkStart w:id="97" w:name="_Toc185395255"/>
      <w:bookmarkStart w:id="98" w:name="_Toc283019219"/>
      <w:bookmarkStart w:id="99" w:name="_Toc247334847"/>
      <w:bookmarkStart w:id="100" w:name="_Toc211911354"/>
      <w:bookmarkStart w:id="101" w:name="_Toc212019600"/>
      <w:bookmarkStart w:id="102" w:name="_Toc286993793"/>
      <w:bookmarkStart w:id="103" w:name="_Toc237145412"/>
      <w:bookmarkStart w:id="104" w:name="_Toc282696231"/>
      <w:bookmarkStart w:id="105" w:name="_Toc232492934"/>
      <w:bookmarkStart w:id="106" w:name="_Toc225654650"/>
      <w:bookmarkStart w:id="107" w:name="_Toc241833909"/>
      <w:bookmarkStart w:id="108" w:name="_Toc239568424"/>
      <w:bookmarkStart w:id="109" w:name="_Toc239233920"/>
      <w:bookmarkStart w:id="110" w:name="_Toc225670757"/>
      <w:bookmarkStart w:id="111" w:name="_Toc225244858"/>
      <w:bookmarkStart w:id="112" w:name="_Toc238984981"/>
      <w:bookmarkStart w:id="113" w:name="_Toc211854455"/>
      <w:bookmarkStart w:id="114" w:name="_Toc251768868"/>
      <w:r>
        <w:rPr>
          <w:rFonts w:ascii="宋体" w:hAnsi="宋体"/>
          <w:b/>
          <w:color w:val="auto"/>
          <w:sz w:val="28"/>
          <w:szCs w:val="28"/>
          <w:highlight w:val="none"/>
        </w:rPr>
        <w:t>合同</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b/>
          <w:color w:val="auto"/>
          <w:sz w:val="28"/>
          <w:szCs w:val="28"/>
          <w:highlight w:val="none"/>
        </w:rPr>
        <w:t>生效及其他</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1、合同经双方法定代表人或授权委托代理人签字并加盖单位公章后生效。</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2、合</w:t>
      </w:r>
      <w:r>
        <w:rPr>
          <w:rFonts w:hint="eastAsia" w:ascii="宋体" w:hAnsi="宋体"/>
          <w:color w:val="auto"/>
          <w:spacing w:val="-4"/>
          <w:sz w:val="28"/>
          <w:szCs w:val="28"/>
          <w:highlight w:val="none"/>
        </w:rPr>
        <w:t>同执行中涉及采购资金和采购内容修改或补充的，须经相关部门审批，并签书面补充协议报采相关部门备案，方可作为主合同不可分割的一部分。</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3、本合同一式肆份，自双方签章之日起起效。甲方贰份，乙方贰份，具有同等法律效力。</w:t>
      </w:r>
    </w:p>
    <w:p>
      <w:pPr>
        <w:numPr>
          <w:ilvl w:val="0"/>
          <w:numId w:val="3"/>
        </w:numPr>
        <w:spacing w:line="360" w:lineRule="auto"/>
        <w:rPr>
          <w:rFonts w:ascii="宋体" w:hAnsi="宋体"/>
          <w:b/>
          <w:color w:val="auto"/>
          <w:sz w:val="28"/>
          <w:szCs w:val="28"/>
          <w:highlight w:val="none"/>
        </w:rPr>
      </w:pPr>
      <w:r>
        <w:rPr>
          <w:rFonts w:hint="eastAsia" w:ascii="宋体" w:hAnsi="宋体"/>
          <w:b/>
          <w:color w:val="auto"/>
          <w:sz w:val="28"/>
          <w:szCs w:val="28"/>
          <w:highlight w:val="none"/>
        </w:rPr>
        <w:t>附件</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1、项目招标文件</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2、项目修改澄清文件</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3、项目投标文件</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4、成交通知书</w:t>
      </w:r>
    </w:p>
    <w:p>
      <w:pPr>
        <w:pStyle w:val="30"/>
        <w:spacing w:line="360" w:lineRule="auto"/>
        <w:ind w:firstLine="560"/>
        <w:rPr>
          <w:rFonts w:ascii="宋体" w:hAnsi="宋体"/>
          <w:color w:val="auto"/>
          <w:sz w:val="28"/>
          <w:szCs w:val="28"/>
          <w:highlight w:val="none"/>
        </w:rPr>
      </w:pPr>
      <w:r>
        <w:rPr>
          <w:rFonts w:hint="eastAsia" w:ascii="宋体" w:hAnsi="宋体"/>
          <w:color w:val="auto"/>
          <w:sz w:val="28"/>
          <w:szCs w:val="28"/>
          <w:highlight w:val="none"/>
        </w:rPr>
        <w:t>5、其他</w:t>
      </w:r>
    </w:p>
    <w:p>
      <w:pPr>
        <w:spacing w:line="240" w:lineRule="exact"/>
        <w:rPr>
          <w:rFonts w:ascii="宋体" w:hAnsi="宋体"/>
          <w:color w:val="auto"/>
          <w:sz w:val="28"/>
          <w:szCs w:val="28"/>
          <w:highlight w:val="none"/>
        </w:rPr>
      </w:pPr>
    </w:p>
    <w:p>
      <w:pPr>
        <w:spacing w:line="400" w:lineRule="exact"/>
        <w:rPr>
          <w:rFonts w:ascii="宋体" w:hAnsi="宋体"/>
          <w:color w:val="auto"/>
          <w:sz w:val="28"/>
          <w:szCs w:val="28"/>
          <w:highlight w:val="none"/>
        </w:rPr>
      </w:pPr>
      <w:r>
        <w:rPr>
          <w:rFonts w:hint="eastAsia" w:ascii="宋体" w:hAnsi="宋体"/>
          <w:color w:val="auto"/>
          <w:sz w:val="28"/>
          <w:szCs w:val="28"/>
          <w:highlight w:val="none"/>
        </w:rPr>
        <w:t>甲方：   （盖章）</w:t>
      </w:r>
      <w:r>
        <w:rPr>
          <w:rFonts w:ascii="宋体" w:hAnsi="宋体"/>
          <w:color w:val="auto"/>
          <w:sz w:val="28"/>
          <w:szCs w:val="28"/>
          <w:highlight w:val="none"/>
        </w:rPr>
        <w:tab/>
      </w:r>
      <w:r>
        <w:rPr>
          <w:rFonts w:ascii="宋体" w:hAnsi="宋体"/>
          <w:color w:val="auto"/>
          <w:sz w:val="28"/>
          <w:szCs w:val="28"/>
          <w:highlight w:val="none"/>
        </w:rPr>
        <w:tab/>
      </w:r>
      <w:r>
        <w:rPr>
          <w:rFonts w:ascii="宋体" w:hAnsi="宋体"/>
          <w:color w:val="auto"/>
          <w:sz w:val="28"/>
          <w:szCs w:val="28"/>
          <w:highlight w:val="none"/>
        </w:rPr>
        <w:tab/>
      </w:r>
      <w:r>
        <w:rPr>
          <w:rFonts w:hint="eastAsia" w:ascii="宋体" w:hAnsi="宋体"/>
          <w:color w:val="auto"/>
          <w:sz w:val="28"/>
          <w:szCs w:val="28"/>
          <w:highlight w:val="none"/>
        </w:rPr>
        <w:t xml:space="preserve">      乙方：（盖章）</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法定代表人（授权代表）：       法定代表人（授权代表）：</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地址：                        地址：</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开户银行：                    开户银行：</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账号：                        账号：</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电话：                        电话：</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传真：                        传真：</w:t>
      </w:r>
    </w:p>
    <w:p>
      <w:pPr>
        <w:spacing w:line="400" w:lineRule="exact"/>
        <w:rPr>
          <w:rFonts w:ascii="宋体" w:hAnsi="宋体"/>
          <w:color w:val="auto"/>
          <w:sz w:val="28"/>
          <w:szCs w:val="28"/>
          <w:highlight w:val="none"/>
        </w:rPr>
      </w:pPr>
      <w:r>
        <w:rPr>
          <w:rFonts w:hint="eastAsia" w:ascii="宋体" w:hAnsi="宋体"/>
          <w:color w:val="auto"/>
          <w:sz w:val="28"/>
          <w:szCs w:val="28"/>
          <w:highlight w:val="none"/>
        </w:rPr>
        <w:t>签约日期：XX年XX月XX日</w:t>
      </w:r>
      <w:r>
        <w:rPr>
          <w:rFonts w:ascii="宋体" w:hAnsi="宋体"/>
          <w:color w:val="auto"/>
          <w:sz w:val="28"/>
          <w:szCs w:val="28"/>
          <w:highlight w:val="none"/>
        </w:rPr>
        <w:tab/>
      </w:r>
      <w:r>
        <w:rPr>
          <w:rFonts w:ascii="宋体" w:hAnsi="宋体"/>
          <w:color w:val="auto"/>
          <w:sz w:val="28"/>
          <w:szCs w:val="28"/>
          <w:highlight w:val="none"/>
        </w:rPr>
        <w:tab/>
      </w:r>
      <w:r>
        <w:rPr>
          <w:rFonts w:hint="eastAsia" w:ascii="宋体" w:hAnsi="宋体"/>
          <w:color w:val="auto"/>
          <w:sz w:val="28"/>
          <w:szCs w:val="28"/>
          <w:highlight w:val="none"/>
        </w:rPr>
        <w:t>签约日期：XX年XX月XX日</w:t>
      </w:r>
    </w:p>
    <w:p>
      <w:pPr>
        <w:rPr>
          <w:rFonts w:ascii="宋体" w:hAnsi="宋体"/>
          <w:b/>
          <w:bCs/>
          <w:color w:val="auto"/>
          <w:sz w:val="30"/>
          <w:szCs w:val="30"/>
          <w:highlight w:val="none"/>
        </w:rPr>
      </w:pPr>
    </w:p>
    <w:p>
      <w:pPr>
        <w:rPr>
          <w:rFonts w:ascii="宋体" w:hAnsi="宋体"/>
          <w:color w:val="auto"/>
          <w:sz w:val="24"/>
          <w:highlight w:val="none"/>
        </w:rPr>
      </w:pPr>
      <w:r>
        <w:rPr>
          <w:rFonts w:hint="eastAsia" w:ascii="宋体" w:hAnsi="宋体"/>
          <w:b/>
          <w:bCs/>
          <w:color w:val="auto"/>
          <w:sz w:val="30"/>
          <w:szCs w:val="30"/>
          <w:highlight w:val="none"/>
        </w:rPr>
        <w:t>注：本合同为范本，成交人可与业主单位自行拟定合同模板。</w:t>
      </w:r>
    </w:p>
    <w:p>
      <w:pPr>
        <w:spacing w:line="360" w:lineRule="auto"/>
        <w:ind w:firstLine="420" w:firstLineChars="200"/>
        <w:rPr>
          <w:color w:val="auto"/>
          <w:highlight w:val="none"/>
        </w:rPr>
      </w:pPr>
    </w:p>
    <w:p>
      <w:pPr>
        <w:jc w:val="cente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仿宋-GBK">
    <w:altName w:val="Times New Roman"/>
    <w:panose1 w:val="00000000000000000000"/>
    <w:charset w:val="00"/>
    <w:family w:val="auto"/>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5502"/>
    <w:multiLevelType w:val="singleLevel"/>
    <w:tmpl w:val="1CA35502"/>
    <w:lvl w:ilvl="0" w:tentative="0">
      <w:start w:val="2"/>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YWVlYjA4ZTcxNWMwODY1YWJmNDZmYzk3N2NjMzAifQ=="/>
    <w:docVar w:name="KSO_WPS_MARK_KEY" w:val="6a946862-f4e2-44fb-bfb2-a761a7a471a2"/>
  </w:docVars>
  <w:rsids>
    <w:rsidRoot w:val="00AB419D"/>
    <w:rsid w:val="00002A60"/>
    <w:rsid w:val="00007850"/>
    <w:rsid w:val="00014FDF"/>
    <w:rsid w:val="0001708C"/>
    <w:rsid w:val="00021053"/>
    <w:rsid w:val="00025A1E"/>
    <w:rsid w:val="000329F7"/>
    <w:rsid w:val="00041FE7"/>
    <w:rsid w:val="000440A3"/>
    <w:rsid w:val="00045DAF"/>
    <w:rsid w:val="00051D52"/>
    <w:rsid w:val="00053FC3"/>
    <w:rsid w:val="0006011A"/>
    <w:rsid w:val="000629B1"/>
    <w:rsid w:val="00093AA9"/>
    <w:rsid w:val="000A460C"/>
    <w:rsid w:val="000B074E"/>
    <w:rsid w:val="000B1307"/>
    <w:rsid w:val="000B560D"/>
    <w:rsid w:val="000C0926"/>
    <w:rsid w:val="000C4A82"/>
    <w:rsid w:val="000D047F"/>
    <w:rsid w:val="000D4E5B"/>
    <w:rsid w:val="000E1317"/>
    <w:rsid w:val="000E276D"/>
    <w:rsid w:val="000E3519"/>
    <w:rsid w:val="000E5E41"/>
    <w:rsid w:val="000F04BC"/>
    <w:rsid w:val="000F71B8"/>
    <w:rsid w:val="00100915"/>
    <w:rsid w:val="001018B7"/>
    <w:rsid w:val="00104783"/>
    <w:rsid w:val="00104C32"/>
    <w:rsid w:val="0011143A"/>
    <w:rsid w:val="00117494"/>
    <w:rsid w:val="00121F10"/>
    <w:rsid w:val="0012525C"/>
    <w:rsid w:val="0012553F"/>
    <w:rsid w:val="00130D2E"/>
    <w:rsid w:val="00136C86"/>
    <w:rsid w:val="001429ED"/>
    <w:rsid w:val="00146FCD"/>
    <w:rsid w:val="00150A09"/>
    <w:rsid w:val="00152B14"/>
    <w:rsid w:val="00154D84"/>
    <w:rsid w:val="00160E1B"/>
    <w:rsid w:val="00162473"/>
    <w:rsid w:val="001646A0"/>
    <w:rsid w:val="00165788"/>
    <w:rsid w:val="00166B8C"/>
    <w:rsid w:val="00167686"/>
    <w:rsid w:val="0017155E"/>
    <w:rsid w:val="00172FB4"/>
    <w:rsid w:val="001748A0"/>
    <w:rsid w:val="00183F4B"/>
    <w:rsid w:val="00193DAE"/>
    <w:rsid w:val="001A57E1"/>
    <w:rsid w:val="001A7355"/>
    <w:rsid w:val="001B1332"/>
    <w:rsid w:val="001B1C64"/>
    <w:rsid w:val="001B607A"/>
    <w:rsid w:val="001B7F10"/>
    <w:rsid w:val="001C0359"/>
    <w:rsid w:val="001C0F52"/>
    <w:rsid w:val="001C247B"/>
    <w:rsid w:val="001C5F01"/>
    <w:rsid w:val="001E0C06"/>
    <w:rsid w:val="001E2FAA"/>
    <w:rsid w:val="001F6FCD"/>
    <w:rsid w:val="00205A5D"/>
    <w:rsid w:val="00210705"/>
    <w:rsid w:val="002150B6"/>
    <w:rsid w:val="00215F22"/>
    <w:rsid w:val="00220436"/>
    <w:rsid w:val="0022401D"/>
    <w:rsid w:val="00226A68"/>
    <w:rsid w:val="00234CC4"/>
    <w:rsid w:val="002427B8"/>
    <w:rsid w:val="0024325F"/>
    <w:rsid w:val="0024641F"/>
    <w:rsid w:val="002472AE"/>
    <w:rsid w:val="002477B4"/>
    <w:rsid w:val="002531A5"/>
    <w:rsid w:val="002557D6"/>
    <w:rsid w:val="002557E3"/>
    <w:rsid w:val="00262E5B"/>
    <w:rsid w:val="002637E7"/>
    <w:rsid w:val="00266486"/>
    <w:rsid w:val="00273AFF"/>
    <w:rsid w:val="00276CD8"/>
    <w:rsid w:val="00281F44"/>
    <w:rsid w:val="002B4673"/>
    <w:rsid w:val="002B58AA"/>
    <w:rsid w:val="002C2A02"/>
    <w:rsid w:val="002C2DE1"/>
    <w:rsid w:val="002C4570"/>
    <w:rsid w:val="002C4A64"/>
    <w:rsid w:val="002D233D"/>
    <w:rsid w:val="002D472D"/>
    <w:rsid w:val="002E019E"/>
    <w:rsid w:val="002F35F8"/>
    <w:rsid w:val="002F6A2D"/>
    <w:rsid w:val="00300D4B"/>
    <w:rsid w:val="00306C20"/>
    <w:rsid w:val="00310CF9"/>
    <w:rsid w:val="00310EC0"/>
    <w:rsid w:val="003127D6"/>
    <w:rsid w:val="00313C52"/>
    <w:rsid w:val="0035637C"/>
    <w:rsid w:val="00356595"/>
    <w:rsid w:val="003605B7"/>
    <w:rsid w:val="00361828"/>
    <w:rsid w:val="00361F58"/>
    <w:rsid w:val="00361F91"/>
    <w:rsid w:val="00363F1F"/>
    <w:rsid w:val="00364F6A"/>
    <w:rsid w:val="003738C8"/>
    <w:rsid w:val="00380DF3"/>
    <w:rsid w:val="00391D2F"/>
    <w:rsid w:val="003973E1"/>
    <w:rsid w:val="00397870"/>
    <w:rsid w:val="003A2692"/>
    <w:rsid w:val="003A5A4B"/>
    <w:rsid w:val="003A5C64"/>
    <w:rsid w:val="003A6535"/>
    <w:rsid w:val="003A6F3F"/>
    <w:rsid w:val="003B09D5"/>
    <w:rsid w:val="003B39EC"/>
    <w:rsid w:val="003B4653"/>
    <w:rsid w:val="003B6791"/>
    <w:rsid w:val="003D0F4D"/>
    <w:rsid w:val="003E3BC6"/>
    <w:rsid w:val="003E4043"/>
    <w:rsid w:val="003E5A5E"/>
    <w:rsid w:val="003F1F9E"/>
    <w:rsid w:val="003F38E0"/>
    <w:rsid w:val="003F7CCF"/>
    <w:rsid w:val="004029CE"/>
    <w:rsid w:val="00411521"/>
    <w:rsid w:val="0041536C"/>
    <w:rsid w:val="004157A6"/>
    <w:rsid w:val="0042209C"/>
    <w:rsid w:val="00427B19"/>
    <w:rsid w:val="004301A3"/>
    <w:rsid w:val="004329A3"/>
    <w:rsid w:val="004331AB"/>
    <w:rsid w:val="00437143"/>
    <w:rsid w:val="00437AB3"/>
    <w:rsid w:val="00437B35"/>
    <w:rsid w:val="004430B0"/>
    <w:rsid w:val="004446AC"/>
    <w:rsid w:val="00457545"/>
    <w:rsid w:val="004A104B"/>
    <w:rsid w:val="004A3F1B"/>
    <w:rsid w:val="004B1E88"/>
    <w:rsid w:val="004B6A96"/>
    <w:rsid w:val="004C7269"/>
    <w:rsid w:val="004C74C5"/>
    <w:rsid w:val="004E06A6"/>
    <w:rsid w:val="004E4701"/>
    <w:rsid w:val="004F0250"/>
    <w:rsid w:val="004F1222"/>
    <w:rsid w:val="004F68B1"/>
    <w:rsid w:val="004F6C19"/>
    <w:rsid w:val="004F7908"/>
    <w:rsid w:val="0051419F"/>
    <w:rsid w:val="00521C26"/>
    <w:rsid w:val="005329F3"/>
    <w:rsid w:val="005413CA"/>
    <w:rsid w:val="0055273D"/>
    <w:rsid w:val="005562D8"/>
    <w:rsid w:val="00562A25"/>
    <w:rsid w:val="00563661"/>
    <w:rsid w:val="00566A62"/>
    <w:rsid w:val="005835C7"/>
    <w:rsid w:val="005840C5"/>
    <w:rsid w:val="00584B55"/>
    <w:rsid w:val="00592BD9"/>
    <w:rsid w:val="005938C4"/>
    <w:rsid w:val="00597644"/>
    <w:rsid w:val="005A0C48"/>
    <w:rsid w:val="005A1BDD"/>
    <w:rsid w:val="005A4D35"/>
    <w:rsid w:val="005B12D3"/>
    <w:rsid w:val="005B593F"/>
    <w:rsid w:val="005C45A2"/>
    <w:rsid w:val="005D0A43"/>
    <w:rsid w:val="005D0BE0"/>
    <w:rsid w:val="005D1B4C"/>
    <w:rsid w:val="005D256C"/>
    <w:rsid w:val="005D3B74"/>
    <w:rsid w:val="005E528B"/>
    <w:rsid w:val="005F73BB"/>
    <w:rsid w:val="0060012F"/>
    <w:rsid w:val="0060342C"/>
    <w:rsid w:val="00604189"/>
    <w:rsid w:val="00607EC4"/>
    <w:rsid w:val="00611E12"/>
    <w:rsid w:val="00616E09"/>
    <w:rsid w:val="00621B26"/>
    <w:rsid w:val="00625F03"/>
    <w:rsid w:val="006279FD"/>
    <w:rsid w:val="0063120C"/>
    <w:rsid w:val="006315C7"/>
    <w:rsid w:val="00646930"/>
    <w:rsid w:val="006613BD"/>
    <w:rsid w:val="006719D8"/>
    <w:rsid w:val="00671A32"/>
    <w:rsid w:val="00672AEC"/>
    <w:rsid w:val="00675D70"/>
    <w:rsid w:val="00690E16"/>
    <w:rsid w:val="00691308"/>
    <w:rsid w:val="006A00F0"/>
    <w:rsid w:val="006A51B4"/>
    <w:rsid w:val="006C2DC2"/>
    <w:rsid w:val="006C3BE1"/>
    <w:rsid w:val="006E3A2D"/>
    <w:rsid w:val="006E56D9"/>
    <w:rsid w:val="006E580E"/>
    <w:rsid w:val="006E652E"/>
    <w:rsid w:val="006F0FF9"/>
    <w:rsid w:val="006F16F0"/>
    <w:rsid w:val="006F2331"/>
    <w:rsid w:val="006F3A45"/>
    <w:rsid w:val="006F594D"/>
    <w:rsid w:val="006F6E54"/>
    <w:rsid w:val="006F703F"/>
    <w:rsid w:val="00700556"/>
    <w:rsid w:val="00713BC7"/>
    <w:rsid w:val="007233FF"/>
    <w:rsid w:val="00733547"/>
    <w:rsid w:val="00733627"/>
    <w:rsid w:val="007422CB"/>
    <w:rsid w:val="00742E35"/>
    <w:rsid w:val="00757240"/>
    <w:rsid w:val="007601FA"/>
    <w:rsid w:val="007623BC"/>
    <w:rsid w:val="0076290D"/>
    <w:rsid w:val="00762E9C"/>
    <w:rsid w:val="0078602D"/>
    <w:rsid w:val="007863E3"/>
    <w:rsid w:val="007A16E4"/>
    <w:rsid w:val="007A5726"/>
    <w:rsid w:val="007B77C7"/>
    <w:rsid w:val="007C1D36"/>
    <w:rsid w:val="007D0435"/>
    <w:rsid w:val="007D3141"/>
    <w:rsid w:val="007E6C20"/>
    <w:rsid w:val="00802A0F"/>
    <w:rsid w:val="0080415C"/>
    <w:rsid w:val="00813387"/>
    <w:rsid w:val="00826F4D"/>
    <w:rsid w:val="008305F1"/>
    <w:rsid w:val="0083732B"/>
    <w:rsid w:val="0084241A"/>
    <w:rsid w:val="0086183B"/>
    <w:rsid w:val="008655C5"/>
    <w:rsid w:val="00873119"/>
    <w:rsid w:val="00897B43"/>
    <w:rsid w:val="008A1C0E"/>
    <w:rsid w:val="008A3E10"/>
    <w:rsid w:val="008A6254"/>
    <w:rsid w:val="008A705E"/>
    <w:rsid w:val="008A78A3"/>
    <w:rsid w:val="008B1428"/>
    <w:rsid w:val="008C6597"/>
    <w:rsid w:val="008C722E"/>
    <w:rsid w:val="008D3DEC"/>
    <w:rsid w:val="008D42AE"/>
    <w:rsid w:val="008D506F"/>
    <w:rsid w:val="008D5CAA"/>
    <w:rsid w:val="008F484A"/>
    <w:rsid w:val="008F5920"/>
    <w:rsid w:val="008F5CF3"/>
    <w:rsid w:val="008F6662"/>
    <w:rsid w:val="008F7624"/>
    <w:rsid w:val="009057CA"/>
    <w:rsid w:val="00910557"/>
    <w:rsid w:val="00922338"/>
    <w:rsid w:val="00922C45"/>
    <w:rsid w:val="00927722"/>
    <w:rsid w:val="00937E6E"/>
    <w:rsid w:val="0094359F"/>
    <w:rsid w:val="009440B5"/>
    <w:rsid w:val="00944140"/>
    <w:rsid w:val="009456FC"/>
    <w:rsid w:val="009463A0"/>
    <w:rsid w:val="00946436"/>
    <w:rsid w:val="009478DA"/>
    <w:rsid w:val="009567AD"/>
    <w:rsid w:val="009626D9"/>
    <w:rsid w:val="009669FA"/>
    <w:rsid w:val="00972F88"/>
    <w:rsid w:val="00977C56"/>
    <w:rsid w:val="00983FDF"/>
    <w:rsid w:val="00990B9D"/>
    <w:rsid w:val="00993654"/>
    <w:rsid w:val="00993ED5"/>
    <w:rsid w:val="009A1627"/>
    <w:rsid w:val="009A32E6"/>
    <w:rsid w:val="009A7A73"/>
    <w:rsid w:val="009B35D7"/>
    <w:rsid w:val="009B7B08"/>
    <w:rsid w:val="009C0D2B"/>
    <w:rsid w:val="009C4257"/>
    <w:rsid w:val="009C4779"/>
    <w:rsid w:val="009C6701"/>
    <w:rsid w:val="009D7EFD"/>
    <w:rsid w:val="009E2B7F"/>
    <w:rsid w:val="009E300A"/>
    <w:rsid w:val="009E4E68"/>
    <w:rsid w:val="009E675C"/>
    <w:rsid w:val="009F285C"/>
    <w:rsid w:val="009F3595"/>
    <w:rsid w:val="009F4581"/>
    <w:rsid w:val="009F4D40"/>
    <w:rsid w:val="009F7CC9"/>
    <w:rsid w:val="00A075BC"/>
    <w:rsid w:val="00A1051B"/>
    <w:rsid w:val="00A11EC2"/>
    <w:rsid w:val="00A13F65"/>
    <w:rsid w:val="00A21107"/>
    <w:rsid w:val="00A3154F"/>
    <w:rsid w:val="00A32163"/>
    <w:rsid w:val="00A409C4"/>
    <w:rsid w:val="00A45715"/>
    <w:rsid w:val="00A563DC"/>
    <w:rsid w:val="00A80148"/>
    <w:rsid w:val="00A82D16"/>
    <w:rsid w:val="00A84F1E"/>
    <w:rsid w:val="00A97470"/>
    <w:rsid w:val="00AB419D"/>
    <w:rsid w:val="00AB75A0"/>
    <w:rsid w:val="00AC057A"/>
    <w:rsid w:val="00AC51F1"/>
    <w:rsid w:val="00AD357D"/>
    <w:rsid w:val="00AD7205"/>
    <w:rsid w:val="00AE0C8C"/>
    <w:rsid w:val="00AE0DD0"/>
    <w:rsid w:val="00AE15A2"/>
    <w:rsid w:val="00AF2698"/>
    <w:rsid w:val="00AF40DE"/>
    <w:rsid w:val="00AF422D"/>
    <w:rsid w:val="00AF6153"/>
    <w:rsid w:val="00AF6188"/>
    <w:rsid w:val="00B05E24"/>
    <w:rsid w:val="00B06ABC"/>
    <w:rsid w:val="00B07ED0"/>
    <w:rsid w:val="00B15A57"/>
    <w:rsid w:val="00B2668C"/>
    <w:rsid w:val="00B27259"/>
    <w:rsid w:val="00B277C6"/>
    <w:rsid w:val="00B31F4B"/>
    <w:rsid w:val="00B35254"/>
    <w:rsid w:val="00B41355"/>
    <w:rsid w:val="00B54095"/>
    <w:rsid w:val="00B60DEB"/>
    <w:rsid w:val="00B618BA"/>
    <w:rsid w:val="00B651C8"/>
    <w:rsid w:val="00B72739"/>
    <w:rsid w:val="00B73AFA"/>
    <w:rsid w:val="00B75117"/>
    <w:rsid w:val="00B90ED5"/>
    <w:rsid w:val="00BA5327"/>
    <w:rsid w:val="00BB3392"/>
    <w:rsid w:val="00BC671C"/>
    <w:rsid w:val="00BC69FB"/>
    <w:rsid w:val="00BD32C5"/>
    <w:rsid w:val="00BD36CA"/>
    <w:rsid w:val="00BE3904"/>
    <w:rsid w:val="00BE4BB9"/>
    <w:rsid w:val="00BE6FE5"/>
    <w:rsid w:val="00BF1AA5"/>
    <w:rsid w:val="00BF5A71"/>
    <w:rsid w:val="00C015E0"/>
    <w:rsid w:val="00C034D9"/>
    <w:rsid w:val="00C11E0B"/>
    <w:rsid w:val="00C142ED"/>
    <w:rsid w:val="00C37DD6"/>
    <w:rsid w:val="00C445C6"/>
    <w:rsid w:val="00C52E59"/>
    <w:rsid w:val="00C60922"/>
    <w:rsid w:val="00C66F88"/>
    <w:rsid w:val="00C70095"/>
    <w:rsid w:val="00C71EEE"/>
    <w:rsid w:val="00C7522D"/>
    <w:rsid w:val="00C759B0"/>
    <w:rsid w:val="00C77DA1"/>
    <w:rsid w:val="00C840FC"/>
    <w:rsid w:val="00C8484B"/>
    <w:rsid w:val="00C927B0"/>
    <w:rsid w:val="00CC5107"/>
    <w:rsid w:val="00CD4B9B"/>
    <w:rsid w:val="00CD4FEA"/>
    <w:rsid w:val="00CF3008"/>
    <w:rsid w:val="00CF53C5"/>
    <w:rsid w:val="00CF6E36"/>
    <w:rsid w:val="00CF6E61"/>
    <w:rsid w:val="00D04164"/>
    <w:rsid w:val="00D13AD1"/>
    <w:rsid w:val="00D14D80"/>
    <w:rsid w:val="00D235B2"/>
    <w:rsid w:val="00D33004"/>
    <w:rsid w:val="00D46D28"/>
    <w:rsid w:val="00D54670"/>
    <w:rsid w:val="00D57DF5"/>
    <w:rsid w:val="00D662DD"/>
    <w:rsid w:val="00D71CF6"/>
    <w:rsid w:val="00D74578"/>
    <w:rsid w:val="00D74A5C"/>
    <w:rsid w:val="00D84226"/>
    <w:rsid w:val="00D933C2"/>
    <w:rsid w:val="00D93A09"/>
    <w:rsid w:val="00DA562D"/>
    <w:rsid w:val="00DA63A9"/>
    <w:rsid w:val="00DC005A"/>
    <w:rsid w:val="00DC2EAD"/>
    <w:rsid w:val="00DD4BCF"/>
    <w:rsid w:val="00DE081C"/>
    <w:rsid w:val="00DE13D3"/>
    <w:rsid w:val="00DE1773"/>
    <w:rsid w:val="00DE566B"/>
    <w:rsid w:val="00DF16E7"/>
    <w:rsid w:val="00E039A7"/>
    <w:rsid w:val="00E0546A"/>
    <w:rsid w:val="00E212CA"/>
    <w:rsid w:val="00E320F1"/>
    <w:rsid w:val="00E33527"/>
    <w:rsid w:val="00E3483B"/>
    <w:rsid w:val="00E35ACB"/>
    <w:rsid w:val="00E35CA2"/>
    <w:rsid w:val="00E35EAC"/>
    <w:rsid w:val="00E519B9"/>
    <w:rsid w:val="00E535BC"/>
    <w:rsid w:val="00E61606"/>
    <w:rsid w:val="00E62AE0"/>
    <w:rsid w:val="00E63F5E"/>
    <w:rsid w:val="00E66DE4"/>
    <w:rsid w:val="00E767E7"/>
    <w:rsid w:val="00E84B27"/>
    <w:rsid w:val="00E90A76"/>
    <w:rsid w:val="00E93A72"/>
    <w:rsid w:val="00EA6D08"/>
    <w:rsid w:val="00EB30B1"/>
    <w:rsid w:val="00EB39EC"/>
    <w:rsid w:val="00EB3F9C"/>
    <w:rsid w:val="00EC60D2"/>
    <w:rsid w:val="00ED4E56"/>
    <w:rsid w:val="00ED6DD8"/>
    <w:rsid w:val="00EE0AC5"/>
    <w:rsid w:val="00EE738A"/>
    <w:rsid w:val="00EF352A"/>
    <w:rsid w:val="00EF7A0B"/>
    <w:rsid w:val="00F00C91"/>
    <w:rsid w:val="00F061B6"/>
    <w:rsid w:val="00F1062B"/>
    <w:rsid w:val="00F11197"/>
    <w:rsid w:val="00F11BF2"/>
    <w:rsid w:val="00F1300D"/>
    <w:rsid w:val="00F16716"/>
    <w:rsid w:val="00F208E8"/>
    <w:rsid w:val="00F26F64"/>
    <w:rsid w:val="00F410BE"/>
    <w:rsid w:val="00F557CF"/>
    <w:rsid w:val="00F6092C"/>
    <w:rsid w:val="00F61D33"/>
    <w:rsid w:val="00F6215A"/>
    <w:rsid w:val="00F66E57"/>
    <w:rsid w:val="00F7161B"/>
    <w:rsid w:val="00F74F6C"/>
    <w:rsid w:val="00F8055C"/>
    <w:rsid w:val="00F8398E"/>
    <w:rsid w:val="00F97412"/>
    <w:rsid w:val="00FA1FB9"/>
    <w:rsid w:val="00FB0BED"/>
    <w:rsid w:val="00FB29FA"/>
    <w:rsid w:val="00FB31B2"/>
    <w:rsid w:val="00FC0625"/>
    <w:rsid w:val="00FC3A7F"/>
    <w:rsid w:val="00FC485D"/>
    <w:rsid w:val="00FC4E98"/>
    <w:rsid w:val="00FF3ADE"/>
    <w:rsid w:val="00FF5BA3"/>
    <w:rsid w:val="00FF6C84"/>
    <w:rsid w:val="010E7F32"/>
    <w:rsid w:val="0198213B"/>
    <w:rsid w:val="0199387A"/>
    <w:rsid w:val="020B45C9"/>
    <w:rsid w:val="02530405"/>
    <w:rsid w:val="02F73573"/>
    <w:rsid w:val="030F548C"/>
    <w:rsid w:val="03542CF8"/>
    <w:rsid w:val="03837D6A"/>
    <w:rsid w:val="039B3DC0"/>
    <w:rsid w:val="03A576E6"/>
    <w:rsid w:val="03CF09C7"/>
    <w:rsid w:val="03E67928"/>
    <w:rsid w:val="03F434D0"/>
    <w:rsid w:val="0431192F"/>
    <w:rsid w:val="047C0919"/>
    <w:rsid w:val="052E2382"/>
    <w:rsid w:val="05562924"/>
    <w:rsid w:val="058014BF"/>
    <w:rsid w:val="05AB42C0"/>
    <w:rsid w:val="05EC12BE"/>
    <w:rsid w:val="06697599"/>
    <w:rsid w:val="066E652C"/>
    <w:rsid w:val="068100C2"/>
    <w:rsid w:val="06906D3C"/>
    <w:rsid w:val="06C16E36"/>
    <w:rsid w:val="08117C0B"/>
    <w:rsid w:val="0895702F"/>
    <w:rsid w:val="090072D1"/>
    <w:rsid w:val="094E3A11"/>
    <w:rsid w:val="09A13017"/>
    <w:rsid w:val="09D66836"/>
    <w:rsid w:val="09DC5835"/>
    <w:rsid w:val="0A1A2120"/>
    <w:rsid w:val="0A617E0A"/>
    <w:rsid w:val="0B3933FD"/>
    <w:rsid w:val="0B71284E"/>
    <w:rsid w:val="0BFD149F"/>
    <w:rsid w:val="0C4112ED"/>
    <w:rsid w:val="0C77107B"/>
    <w:rsid w:val="0C7F37E5"/>
    <w:rsid w:val="0CA470DD"/>
    <w:rsid w:val="0CBF0388"/>
    <w:rsid w:val="0D7D67BD"/>
    <w:rsid w:val="0E024F50"/>
    <w:rsid w:val="0E1E3160"/>
    <w:rsid w:val="0E5973EF"/>
    <w:rsid w:val="0E7B540B"/>
    <w:rsid w:val="0EA153DE"/>
    <w:rsid w:val="0F246721"/>
    <w:rsid w:val="0F2A2A5C"/>
    <w:rsid w:val="0F6E10BA"/>
    <w:rsid w:val="0F71610A"/>
    <w:rsid w:val="0F7C57E7"/>
    <w:rsid w:val="0FA150E5"/>
    <w:rsid w:val="0FEF0420"/>
    <w:rsid w:val="10250D04"/>
    <w:rsid w:val="104B091B"/>
    <w:rsid w:val="10FE395F"/>
    <w:rsid w:val="1134095F"/>
    <w:rsid w:val="11962047"/>
    <w:rsid w:val="11B44E29"/>
    <w:rsid w:val="129101DD"/>
    <w:rsid w:val="13B04172"/>
    <w:rsid w:val="147321A5"/>
    <w:rsid w:val="14CA5B8A"/>
    <w:rsid w:val="150A73FB"/>
    <w:rsid w:val="159963EB"/>
    <w:rsid w:val="15BA2C7E"/>
    <w:rsid w:val="15FD083E"/>
    <w:rsid w:val="16E2596D"/>
    <w:rsid w:val="17CB4F7F"/>
    <w:rsid w:val="17CE42EE"/>
    <w:rsid w:val="18540C1C"/>
    <w:rsid w:val="19181037"/>
    <w:rsid w:val="19386AA3"/>
    <w:rsid w:val="197B3780"/>
    <w:rsid w:val="19830DE2"/>
    <w:rsid w:val="1A5C11DE"/>
    <w:rsid w:val="1A773451"/>
    <w:rsid w:val="1A7A6970"/>
    <w:rsid w:val="1ACA76AB"/>
    <w:rsid w:val="1B2F58EB"/>
    <w:rsid w:val="1B8156E2"/>
    <w:rsid w:val="1B8220DC"/>
    <w:rsid w:val="1B9A72C3"/>
    <w:rsid w:val="1C0E43C4"/>
    <w:rsid w:val="1C3956E7"/>
    <w:rsid w:val="1C4349F0"/>
    <w:rsid w:val="1CFB47D1"/>
    <w:rsid w:val="1D1D7145"/>
    <w:rsid w:val="1D987658"/>
    <w:rsid w:val="1DA9521B"/>
    <w:rsid w:val="1DB2632F"/>
    <w:rsid w:val="1DC10C7E"/>
    <w:rsid w:val="1E022592"/>
    <w:rsid w:val="1E1313A5"/>
    <w:rsid w:val="1E1C2469"/>
    <w:rsid w:val="1E2D638A"/>
    <w:rsid w:val="1E4A3E53"/>
    <w:rsid w:val="1E8B27B4"/>
    <w:rsid w:val="1F722AF4"/>
    <w:rsid w:val="1FA2690E"/>
    <w:rsid w:val="1FA37198"/>
    <w:rsid w:val="1FD228BA"/>
    <w:rsid w:val="200A63E9"/>
    <w:rsid w:val="2041558F"/>
    <w:rsid w:val="21301750"/>
    <w:rsid w:val="213627A0"/>
    <w:rsid w:val="21FA5C75"/>
    <w:rsid w:val="22836713"/>
    <w:rsid w:val="22A0477E"/>
    <w:rsid w:val="22A61BFC"/>
    <w:rsid w:val="22C41BDF"/>
    <w:rsid w:val="22E62101"/>
    <w:rsid w:val="22F52708"/>
    <w:rsid w:val="23040BE2"/>
    <w:rsid w:val="234D65E4"/>
    <w:rsid w:val="236946CE"/>
    <w:rsid w:val="23A73ACF"/>
    <w:rsid w:val="23CF17F8"/>
    <w:rsid w:val="23D636C7"/>
    <w:rsid w:val="243B0032"/>
    <w:rsid w:val="24445C52"/>
    <w:rsid w:val="245228A3"/>
    <w:rsid w:val="253A2890"/>
    <w:rsid w:val="25591E48"/>
    <w:rsid w:val="257E6334"/>
    <w:rsid w:val="258334C7"/>
    <w:rsid w:val="25936E37"/>
    <w:rsid w:val="25944BEB"/>
    <w:rsid w:val="25EC6656"/>
    <w:rsid w:val="25F018F1"/>
    <w:rsid w:val="262D2122"/>
    <w:rsid w:val="2687035C"/>
    <w:rsid w:val="26917E47"/>
    <w:rsid w:val="273600C4"/>
    <w:rsid w:val="274A3733"/>
    <w:rsid w:val="2757375D"/>
    <w:rsid w:val="280677F8"/>
    <w:rsid w:val="28133889"/>
    <w:rsid w:val="28570ED0"/>
    <w:rsid w:val="28890F03"/>
    <w:rsid w:val="289678F8"/>
    <w:rsid w:val="28CB4594"/>
    <w:rsid w:val="295938DD"/>
    <w:rsid w:val="2AC64A5F"/>
    <w:rsid w:val="2AEF54A6"/>
    <w:rsid w:val="2B686039"/>
    <w:rsid w:val="2C3415F9"/>
    <w:rsid w:val="2DA55715"/>
    <w:rsid w:val="2E494634"/>
    <w:rsid w:val="2E834D92"/>
    <w:rsid w:val="2EA16E95"/>
    <w:rsid w:val="2EBF45DC"/>
    <w:rsid w:val="2F25236A"/>
    <w:rsid w:val="2F964D76"/>
    <w:rsid w:val="30120063"/>
    <w:rsid w:val="3014729B"/>
    <w:rsid w:val="30405F37"/>
    <w:rsid w:val="304F33E8"/>
    <w:rsid w:val="30920FAA"/>
    <w:rsid w:val="30CB11E5"/>
    <w:rsid w:val="30CF3F7D"/>
    <w:rsid w:val="30E66B90"/>
    <w:rsid w:val="30ED5CE0"/>
    <w:rsid w:val="317F50B3"/>
    <w:rsid w:val="322C40DE"/>
    <w:rsid w:val="32307ABE"/>
    <w:rsid w:val="3278613C"/>
    <w:rsid w:val="32E14AE7"/>
    <w:rsid w:val="330B0B37"/>
    <w:rsid w:val="33175199"/>
    <w:rsid w:val="332F246D"/>
    <w:rsid w:val="33455F4E"/>
    <w:rsid w:val="337A79CF"/>
    <w:rsid w:val="33AA72FB"/>
    <w:rsid w:val="353248FF"/>
    <w:rsid w:val="355A341A"/>
    <w:rsid w:val="35623A59"/>
    <w:rsid w:val="3621229C"/>
    <w:rsid w:val="36B70E0E"/>
    <w:rsid w:val="36F95BEA"/>
    <w:rsid w:val="372202FA"/>
    <w:rsid w:val="37A67F57"/>
    <w:rsid w:val="37A90661"/>
    <w:rsid w:val="37E5494F"/>
    <w:rsid w:val="37F35B84"/>
    <w:rsid w:val="38005654"/>
    <w:rsid w:val="38147847"/>
    <w:rsid w:val="3866058C"/>
    <w:rsid w:val="38AE1900"/>
    <w:rsid w:val="38C71334"/>
    <w:rsid w:val="39275745"/>
    <w:rsid w:val="3942655E"/>
    <w:rsid w:val="39447120"/>
    <w:rsid w:val="3967765F"/>
    <w:rsid w:val="3987307D"/>
    <w:rsid w:val="39961A95"/>
    <w:rsid w:val="39A755F6"/>
    <w:rsid w:val="39D251B4"/>
    <w:rsid w:val="3A4C5075"/>
    <w:rsid w:val="3A6C09AE"/>
    <w:rsid w:val="3A8579D9"/>
    <w:rsid w:val="3B792FCC"/>
    <w:rsid w:val="3D3B517B"/>
    <w:rsid w:val="3D7A69EA"/>
    <w:rsid w:val="3D8D47C7"/>
    <w:rsid w:val="3E815CBD"/>
    <w:rsid w:val="3EB951D6"/>
    <w:rsid w:val="3ED70937"/>
    <w:rsid w:val="3F796C43"/>
    <w:rsid w:val="3FCD027B"/>
    <w:rsid w:val="400750E5"/>
    <w:rsid w:val="407F60FD"/>
    <w:rsid w:val="408A0566"/>
    <w:rsid w:val="409A34E2"/>
    <w:rsid w:val="40A66256"/>
    <w:rsid w:val="41077C08"/>
    <w:rsid w:val="41184EAA"/>
    <w:rsid w:val="41E62B1C"/>
    <w:rsid w:val="42B37E64"/>
    <w:rsid w:val="42F04887"/>
    <w:rsid w:val="42F36B80"/>
    <w:rsid w:val="42F717CD"/>
    <w:rsid w:val="435858D2"/>
    <w:rsid w:val="43587C51"/>
    <w:rsid w:val="446E7266"/>
    <w:rsid w:val="449D0D0E"/>
    <w:rsid w:val="44C26A03"/>
    <w:rsid w:val="44FA6829"/>
    <w:rsid w:val="4525559F"/>
    <w:rsid w:val="45555EF2"/>
    <w:rsid w:val="45961B71"/>
    <w:rsid w:val="459A7930"/>
    <w:rsid w:val="45AC1E80"/>
    <w:rsid w:val="45B4604E"/>
    <w:rsid w:val="467B2BE9"/>
    <w:rsid w:val="467B6AAF"/>
    <w:rsid w:val="46A362B1"/>
    <w:rsid w:val="46CA2076"/>
    <w:rsid w:val="47195EF0"/>
    <w:rsid w:val="47D22E00"/>
    <w:rsid w:val="480C031E"/>
    <w:rsid w:val="48BE7FF2"/>
    <w:rsid w:val="490C7557"/>
    <w:rsid w:val="491A3012"/>
    <w:rsid w:val="49A245EF"/>
    <w:rsid w:val="49A721A8"/>
    <w:rsid w:val="49F03616"/>
    <w:rsid w:val="49F32393"/>
    <w:rsid w:val="49FB3C81"/>
    <w:rsid w:val="4A5421CC"/>
    <w:rsid w:val="4AED2426"/>
    <w:rsid w:val="4B3E41BA"/>
    <w:rsid w:val="4B8E45FC"/>
    <w:rsid w:val="4BA035A7"/>
    <w:rsid w:val="4BAD7FAB"/>
    <w:rsid w:val="4BC45276"/>
    <w:rsid w:val="4C020934"/>
    <w:rsid w:val="4C3054AC"/>
    <w:rsid w:val="4C8722ED"/>
    <w:rsid w:val="4C9E5354"/>
    <w:rsid w:val="4E67416A"/>
    <w:rsid w:val="4ED16DAF"/>
    <w:rsid w:val="4ED5181D"/>
    <w:rsid w:val="4F6F73CF"/>
    <w:rsid w:val="4FD01AFA"/>
    <w:rsid w:val="5002183A"/>
    <w:rsid w:val="500F6F80"/>
    <w:rsid w:val="508D7716"/>
    <w:rsid w:val="5107062E"/>
    <w:rsid w:val="51195D39"/>
    <w:rsid w:val="512C795C"/>
    <w:rsid w:val="525769EA"/>
    <w:rsid w:val="52792577"/>
    <w:rsid w:val="52E552BC"/>
    <w:rsid w:val="535D4B67"/>
    <w:rsid w:val="53EA5948"/>
    <w:rsid w:val="54E0695D"/>
    <w:rsid w:val="55846CD6"/>
    <w:rsid w:val="55AA4DD8"/>
    <w:rsid w:val="55B81923"/>
    <w:rsid w:val="55F37519"/>
    <w:rsid w:val="561806DF"/>
    <w:rsid w:val="56AF4B1B"/>
    <w:rsid w:val="56D560E4"/>
    <w:rsid w:val="57CD16D1"/>
    <w:rsid w:val="57DE7B26"/>
    <w:rsid w:val="58133704"/>
    <w:rsid w:val="5848781F"/>
    <w:rsid w:val="585F5606"/>
    <w:rsid w:val="5869428B"/>
    <w:rsid w:val="58B073A2"/>
    <w:rsid w:val="58F065AE"/>
    <w:rsid w:val="594829C6"/>
    <w:rsid w:val="59B17084"/>
    <w:rsid w:val="5A4F7BC5"/>
    <w:rsid w:val="5B432CA6"/>
    <w:rsid w:val="5B692BD7"/>
    <w:rsid w:val="5B6B3989"/>
    <w:rsid w:val="5BA12644"/>
    <w:rsid w:val="5C4E32CE"/>
    <w:rsid w:val="5CD04C27"/>
    <w:rsid w:val="5D134B6B"/>
    <w:rsid w:val="5D313605"/>
    <w:rsid w:val="5D5D255E"/>
    <w:rsid w:val="5D6C58E1"/>
    <w:rsid w:val="5DD578DF"/>
    <w:rsid w:val="5DD76BD4"/>
    <w:rsid w:val="5DD84426"/>
    <w:rsid w:val="5E894B3A"/>
    <w:rsid w:val="5EA347F8"/>
    <w:rsid w:val="5F131BD1"/>
    <w:rsid w:val="5F731862"/>
    <w:rsid w:val="5F740987"/>
    <w:rsid w:val="5F9B223C"/>
    <w:rsid w:val="5FD0650D"/>
    <w:rsid w:val="6032488B"/>
    <w:rsid w:val="60376D5E"/>
    <w:rsid w:val="60401FA9"/>
    <w:rsid w:val="604668A4"/>
    <w:rsid w:val="60644F6A"/>
    <w:rsid w:val="618F0B54"/>
    <w:rsid w:val="620314CE"/>
    <w:rsid w:val="626C5EBB"/>
    <w:rsid w:val="62FB1999"/>
    <w:rsid w:val="62FB2E34"/>
    <w:rsid w:val="63414B9A"/>
    <w:rsid w:val="639D1FC4"/>
    <w:rsid w:val="63C724C4"/>
    <w:rsid w:val="64642C0F"/>
    <w:rsid w:val="64872D7D"/>
    <w:rsid w:val="65313571"/>
    <w:rsid w:val="66042899"/>
    <w:rsid w:val="66202835"/>
    <w:rsid w:val="66251CE8"/>
    <w:rsid w:val="66AB6923"/>
    <w:rsid w:val="66AF1F8E"/>
    <w:rsid w:val="687420E1"/>
    <w:rsid w:val="68971052"/>
    <w:rsid w:val="68B8079A"/>
    <w:rsid w:val="697A0492"/>
    <w:rsid w:val="697A5EEF"/>
    <w:rsid w:val="69CD62E4"/>
    <w:rsid w:val="6A215126"/>
    <w:rsid w:val="6A3B3215"/>
    <w:rsid w:val="6A464B86"/>
    <w:rsid w:val="6A9555A7"/>
    <w:rsid w:val="6AD95193"/>
    <w:rsid w:val="6AE6787C"/>
    <w:rsid w:val="6B142F59"/>
    <w:rsid w:val="6B6B1344"/>
    <w:rsid w:val="6BA43F98"/>
    <w:rsid w:val="6BC0302D"/>
    <w:rsid w:val="6C0D097B"/>
    <w:rsid w:val="6C176AF8"/>
    <w:rsid w:val="6C343BF9"/>
    <w:rsid w:val="6CCF1E77"/>
    <w:rsid w:val="6CEE0BD6"/>
    <w:rsid w:val="6D006ACC"/>
    <w:rsid w:val="6D41572B"/>
    <w:rsid w:val="6D507EF5"/>
    <w:rsid w:val="6D801072"/>
    <w:rsid w:val="6D9336A9"/>
    <w:rsid w:val="6DAC0EAF"/>
    <w:rsid w:val="6DC052FA"/>
    <w:rsid w:val="6DF25C17"/>
    <w:rsid w:val="6E6C110D"/>
    <w:rsid w:val="6E941C29"/>
    <w:rsid w:val="6ECB1B21"/>
    <w:rsid w:val="6ED532AD"/>
    <w:rsid w:val="6F7D4FDF"/>
    <w:rsid w:val="700A0476"/>
    <w:rsid w:val="705D23C3"/>
    <w:rsid w:val="70EC3B85"/>
    <w:rsid w:val="711865D1"/>
    <w:rsid w:val="715E1158"/>
    <w:rsid w:val="71C3098D"/>
    <w:rsid w:val="729A19FC"/>
    <w:rsid w:val="72BB68D7"/>
    <w:rsid w:val="72D03C09"/>
    <w:rsid w:val="73301BFE"/>
    <w:rsid w:val="746D4F71"/>
    <w:rsid w:val="74C24954"/>
    <w:rsid w:val="74F0403B"/>
    <w:rsid w:val="751E4B4F"/>
    <w:rsid w:val="75265708"/>
    <w:rsid w:val="7573679A"/>
    <w:rsid w:val="75972B96"/>
    <w:rsid w:val="75AF5181"/>
    <w:rsid w:val="75E40A70"/>
    <w:rsid w:val="76065E51"/>
    <w:rsid w:val="76336826"/>
    <w:rsid w:val="764051CD"/>
    <w:rsid w:val="7647673A"/>
    <w:rsid w:val="767B20DE"/>
    <w:rsid w:val="776742BA"/>
    <w:rsid w:val="777C2041"/>
    <w:rsid w:val="77D51CC6"/>
    <w:rsid w:val="78056103"/>
    <w:rsid w:val="780D3021"/>
    <w:rsid w:val="7850011B"/>
    <w:rsid w:val="789C375F"/>
    <w:rsid w:val="791822A6"/>
    <w:rsid w:val="79341354"/>
    <w:rsid w:val="795C18B1"/>
    <w:rsid w:val="798673FF"/>
    <w:rsid w:val="79A06B8C"/>
    <w:rsid w:val="79E24222"/>
    <w:rsid w:val="7A2B29B4"/>
    <w:rsid w:val="7A45077C"/>
    <w:rsid w:val="7A562EF2"/>
    <w:rsid w:val="7A5B2972"/>
    <w:rsid w:val="7AAD244F"/>
    <w:rsid w:val="7B8E1844"/>
    <w:rsid w:val="7C300C8D"/>
    <w:rsid w:val="7C8F40E0"/>
    <w:rsid w:val="7CBF75CB"/>
    <w:rsid w:val="7CDC69D8"/>
    <w:rsid w:val="7D4A663D"/>
    <w:rsid w:val="7D893E59"/>
    <w:rsid w:val="7DE70DFE"/>
    <w:rsid w:val="7DF22B05"/>
    <w:rsid w:val="7E4670B2"/>
    <w:rsid w:val="7E5C4C77"/>
    <w:rsid w:val="7EE41C63"/>
    <w:rsid w:val="7F296637"/>
    <w:rsid w:val="7F8A56F0"/>
    <w:rsid w:val="7FF06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jc w:val="center"/>
      <w:outlineLvl w:val="2"/>
    </w:pPr>
    <w:rPr>
      <w:b/>
      <w:bCs/>
      <w:sz w:val="32"/>
      <w:szCs w:val="32"/>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1"/>
    <w:qFormat/>
    <w:uiPriority w:val="0"/>
    <w:pPr>
      <w:spacing w:line="360" w:lineRule="auto"/>
      <w:ind w:firstLine="420" w:firstLineChars="200"/>
    </w:pPr>
    <w:rPr>
      <w:rFonts w:asciiTheme="minorHAnsi" w:hAnsiTheme="minorHAnsi" w:cstheme="minorBidi"/>
      <w:szCs w:val="24"/>
    </w:rPr>
  </w:style>
  <w:style w:type="paragraph" w:styleId="6">
    <w:name w:val="annotation text"/>
    <w:basedOn w:val="1"/>
    <w:qFormat/>
    <w:uiPriority w:val="0"/>
    <w:pPr>
      <w:jc w:val="left"/>
    </w:pPr>
  </w:style>
  <w:style w:type="paragraph" w:styleId="7">
    <w:name w:val="Body Text"/>
    <w:basedOn w:val="1"/>
    <w:next w:val="1"/>
    <w:link w:val="47"/>
    <w:unhideWhenUsed/>
    <w:qFormat/>
    <w:uiPriority w:val="99"/>
    <w:pPr>
      <w:spacing w:after="120"/>
    </w:pPr>
  </w:style>
  <w:style w:type="paragraph" w:styleId="8">
    <w:name w:val="Body Text Indent"/>
    <w:basedOn w:val="1"/>
    <w:qFormat/>
    <w:uiPriority w:val="0"/>
    <w:pPr>
      <w:spacing w:line="560" w:lineRule="exact"/>
      <w:ind w:firstLine="580" w:firstLineChars="207"/>
    </w:pPr>
    <w:rPr>
      <w:sz w:val="28"/>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link w:val="46"/>
    <w:semiHidden/>
    <w:unhideWhenUsed/>
    <w:qFormat/>
    <w:uiPriority w:val="99"/>
    <w:pPr>
      <w:widowControl/>
      <w:ind w:left="100" w:leftChars="2500"/>
      <w:jc w:val="left"/>
    </w:pPr>
    <w:rPr>
      <w:rFonts w:asciiTheme="minorHAnsi" w:hAnsiTheme="minorHAnsi" w:eastAsiaTheme="minorEastAsia" w:cstheme="minorBidi"/>
    </w:rPr>
  </w:style>
  <w:style w:type="paragraph" w:styleId="12">
    <w:name w:val="Balloon Text"/>
    <w:basedOn w:val="1"/>
    <w:link w:val="32"/>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spacing w:before="120" w:after="120"/>
    </w:pPr>
    <w:rPr>
      <w:b/>
      <w:bCs/>
      <w:caps/>
      <w:szCs w:val="20"/>
    </w:rPr>
  </w:style>
  <w:style w:type="paragraph" w:styleId="16">
    <w:name w:val="toc 2"/>
    <w:basedOn w:val="1"/>
    <w:next w:val="1"/>
    <w:unhideWhenUsed/>
    <w:qFormat/>
    <w:uiPriority w:val="39"/>
    <w:pPr>
      <w:ind w:left="420" w:leftChars="200"/>
    </w:pPr>
  </w:style>
  <w:style w:type="paragraph" w:styleId="17">
    <w:name w:val="Title"/>
    <w:basedOn w:val="1"/>
    <w:next w:val="1"/>
    <w:link w:val="36"/>
    <w:qFormat/>
    <w:uiPriority w:val="10"/>
    <w:pPr>
      <w:spacing w:before="240" w:after="60"/>
      <w:jc w:val="center"/>
      <w:outlineLvl w:val="0"/>
    </w:pPr>
    <w:rPr>
      <w:rFonts w:asciiTheme="majorHAnsi" w:hAnsiTheme="majorHAnsi" w:cstheme="majorBidi"/>
      <w:b/>
      <w:bCs/>
      <w:sz w:val="36"/>
      <w:szCs w:val="32"/>
    </w:r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常用样式（方正仿宋简）"/>
    <w:basedOn w:val="1"/>
    <w:qFormat/>
    <w:uiPriority w:val="0"/>
    <w:pPr>
      <w:spacing w:line="560" w:lineRule="exact"/>
      <w:ind w:firstLine="640" w:firstLineChars="200"/>
    </w:pPr>
    <w:rPr>
      <w:rFonts w:eastAsia="方正仿宋简体"/>
      <w:sz w:val="32"/>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标题 2 字符"/>
    <w:basedOn w:val="18"/>
    <w:link w:val="2"/>
    <w:qFormat/>
    <w:uiPriority w:val="9"/>
    <w:rPr>
      <w:rFonts w:ascii="Cambria" w:hAnsi="Cambria" w:eastAsia="宋体" w:cs="Times New Roman"/>
      <w:b/>
      <w:bCs/>
      <w:sz w:val="32"/>
      <w:szCs w:val="32"/>
    </w:rPr>
  </w:style>
  <w:style w:type="character" w:customStyle="1" w:styleId="26">
    <w:name w:val="标题 3 字符"/>
    <w:basedOn w:val="18"/>
    <w:link w:val="4"/>
    <w:qFormat/>
    <w:uiPriority w:val="9"/>
    <w:rPr>
      <w:b/>
      <w:bCs/>
      <w:kern w:val="2"/>
      <w:sz w:val="32"/>
      <w:szCs w:val="32"/>
    </w:rPr>
  </w:style>
  <w:style w:type="character" w:customStyle="1" w:styleId="27">
    <w:name w:val="页眉 字符"/>
    <w:basedOn w:val="18"/>
    <w:link w:val="14"/>
    <w:qFormat/>
    <w:uiPriority w:val="99"/>
    <w:rPr>
      <w:sz w:val="18"/>
      <w:szCs w:val="18"/>
    </w:rPr>
  </w:style>
  <w:style w:type="character" w:customStyle="1" w:styleId="28">
    <w:name w:val="页脚 字符"/>
    <w:basedOn w:val="18"/>
    <w:link w:val="13"/>
    <w:qFormat/>
    <w:uiPriority w:val="99"/>
    <w:rPr>
      <w:sz w:val="18"/>
      <w:szCs w:val="18"/>
    </w:rPr>
  </w:style>
  <w:style w:type="character" w:customStyle="1" w:styleId="29">
    <w:name w:val="页眉 Char1"/>
    <w:basedOn w:val="18"/>
    <w:semiHidden/>
    <w:qFormat/>
    <w:uiPriority w:val="99"/>
    <w:rPr>
      <w:rFonts w:ascii="Calibri" w:hAnsi="Calibri" w:eastAsia="宋体" w:cs="Times New Roman"/>
      <w:sz w:val="18"/>
      <w:szCs w:val="18"/>
    </w:rPr>
  </w:style>
  <w:style w:type="paragraph" w:styleId="30">
    <w:name w:val="List Paragraph"/>
    <w:basedOn w:val="1"/>
    <w:link w:val="49"/>
    <w:qFormat/>
    <w:uiPriority w:val="0"/>
    <w:pPr>
      <w:ind w:firstLine="420" w:firstLineChars="200"/>
    </w:pPr>
    <w:rPr>
      <w:sz w:val="18"/>
      <w:szCs w:val="18"/>
    </w:rPr>
  </w:style>
  <w:style w:type="character" w:customStyle="1" w:styleId="31">
    <w:name w:val="页脚 Char1"/>
    <w:basedOn w:val="18"/>
    <w:semiHidden/>
    <w:qFormat/>
    <w:uiPriority w:val="99"/>
    <w:rPr>
      <w:rFonts w:ascii="Calibri" w:hAnsi="Calibri" w:eastAsia="宋体" w:cs="Times New Roman"/>
      <w:sz w:val="18"/>
      <w:szCs w:val="18"/>
    </w:rPr>
  </w:style>
  <w:style w:type="character" w:customStyle="1" w:styleId="32">
    <w:name w:val="批注框文本 字符"/>
    <w:basedOn w:val="18"/>
    <w:link w:val="12"/>
    <w:semiHidden/>
    <w:qFormat/>
    <w:uiPriority w:val="99"/>
    <w:rPr>
      <w:rFonts w:ascii="Calibri" w:hAnsi="Calibri" w:eastAsia="宋体" w:cs="Times New Roman"/>
      <w:sz w:val="18"/>
      <w:szCs w:val="18"/>
    </w:rPr>
  </w:style>
  <w:style w:type="paragraph" w:customStyle="1" w:styleId="33">
    <w:name w:val="列出段落2"/>
    <w:basedOn w:val="1"/>
    <w:qFormat/>
    <w:uiPriority w:val="0"/>
    <w:pPr>
      <w:ind w:firstLine="420" w:firstLineChars="200"/>
    </w:pPr>
    <w:rPr>
      <w:rFonts w:cs="黑体"/>
      <w:sz w:val="24"/>
      <w:szCs w:val="24"/>
    </w:rPr>
  </w:style>
  <w:style w:type="paragraph" w:customStyle="1" w:styleId="34">
    <w:name w:val="列出段落1"/>
    <w:basedOn w:val="1"/>
    <w:qFormat/>
    <w:uiPriority w:val="0"/>
    <w:pPr>
      <w:ind w:firstLine="420" w:firstLineChars="200"/>
    </w:pPr>
    <w:rPr>
      <w:rFonts w:eastAsia="方正仿宋-GBK" w:cs="黑体"/>
      <w:sz w:val="24"/>
      <w:szCs w:val="24"/>
    </w:rPr>
  </w:style>
  <w:style w:type="character" w:customStyle="1" w:styleId="35">
    <w:name w:val="标题 1 字符"/>
    <w:basedOn w:val="18"/>
    <w:link w:val="3"/>
    <w:qFormat/>
    <w:uiPriority w:val="9"/>
    <w:rPr>
      <w:rFonts w:ascii="Calibri" w:hAnsi="Calibri" w:eastAsia="宋体" w:cs="Times New Roman"/>
      <w:b/>
      <w:bCs/>
      <w:kern w:val="44"/>
      <w:sz w:val="44"/>
      <w:szCs w:val="44"/>
    </w:rPr>
  </w:style>
  <w:style w:type="character" w:customStyle="1" w:styleId="36">
    <w:name w:val="标题 字符"/>
    <w:basedOn w:val="18"/>
    <w:link w:val="17"/>
    <w:qFormat/>
    <w:uiPriority w:val="10"/>
    <w:rPr>
      <w:rFonts w:asciiTheme="majorHAnsi" w:hAnsiTheme="majorHAnsi" w:cstheme="majorBidi"/>
      <w:b/>
      <w:bCs/>
      <w:kern w:val="2"/>
      <w:sz w:val="36"/>
      <w:szCs w:val="32"/>
    </w:rPr>
  </w:style>
  <w:style w:type="paragraph" w:customStyle="1" w:styleId="3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font21"/>
    <w:qFormat/>
    <w:uiPriority w:val="0"/>
    <w:rPr>
      <w:rFonts w:hint="default" w:ascii="font-weight : 400" w:hAnsi="font-weight : 400" w:eastAsia="font-weight : 400" w:cs="font-weight : 400"/>
      <w:color w:val="000000"/>
      <w:sz w:val="24"/>
      <w:szCs w:val="24"/>
      <w:u w:val="none"/>
    </w:rPr>
  </w:style>
  <w:style w:type="character" w:customStyle="1" w:styleId="39">
    <w:name w:val="font11"/>
    <w:qFormat/>
    <w:uiPriority w:val="0"/>
    <w:rPr>
      <w:rFonts w:ascii="font-weight : 400" w:hAnsi="font-weight : 400" w:eastAsia="font-weight : 400" w:cs="font-weight : 400"/>
      <w:color w:val="000000"/>
      <w:sz w:val="24"/>
      <w:szCs w:val="24"/>
      <w:u w:val="none"/>
    </w:rPr>
  </w:style>
  <w:style w:type="paragraph" w:customStyle="1" w:styleId="40">
    <w:name w:val="List Paragraph1"/>
    <w:basedOn w:val="1"/>
    <w:qFormat/>
    <w:uiPriority w:val="0"/>
    <w:pPr>
      <w:ind w:firstLine="420" w:firstLineChars="200"/>
    </w:pPr>
    <w:rPr>
      <w:rFonts w:cs="黑体"/>
    </w:rPr>
  </w:style>
  <w:style w:type="character" w:customStyle="1" w:styleId="41">
    <w:name w:val="正文缩进 字符"/>
    <w:basedOn w:val="18"/>
    <w:link w:val="5"/>
    <w:qFormat/>
    <w:uiPriority w:val="0"/>
    <w:rPr>
      <w:rFonts w:eastAsia="宋体"/>
      <w:szCs w:val="24"/>
    </w:rPr>
  </w:style>
  <w:style w:type="paragraph" w:customStyle="1" w:styleId="4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CD正文"/>
    <w:basedOn w:val="1"/>
    <w:link w:val="45"/>
    <w:qFormat/>
    <w:uiPriority w:val="0"/>
    <w:pPr>
      <w:widowControl/>
      <w:spacing w:line="360" w:lineRule="auto"/>
      <w:ind w:firstLine="493"/>
      <w:jc w:val="left"/>
    </w:pPr>
    <w:rPr>
      <w:rFonts w:ascii="Times New Roman" w:hAnsi="Times New Roman"/>
      <w:kern w:val="0"/>
      <w:sz w:val="30"/>
      <w:szCs w:val="28"/>
    </w:rPr>
  </w:style>
  <w:style w:type="character" w:customStyle="1" w:styleId="45">
    <w:name w:val="CD正文 Char"/>
    <w:link w:val="44"/>
    <w:qFormat/>
    <w:uiPriority w:val="0"/>
    <w:rPr>
      <w:rFonts w:ascii="Times New Roman" w:hAnsi="Times New Roman"/>
      <w:sz w:val="30"/>
      <w:szCs w:val="28"/>
    </w:rPr>
  </w:style>
  <w:style w:type="character" w:customStyle="1" w:styleId="46">
    <w:name w:val="日期 字符"/>
    <w:basedOn w:val="18"/>
    <w:link w:val="11"/>
    <w:semiHidden/>
    <w:qFormat/>
    <w:uiPriority w:val="99"/>
    <w:rPr>
      <w:rFonts w:asciiTheme="minorHAnsi" w:hAnsiTheme="minorHAnsi" w:eastAsiaTheme="minorEastAsia" w:cstheme="minorBidi"/>
      <w:kern w:val="2"/>
      <w:sz w:val="21"/>
      <w:szCs w:val="22"/>
    </w:rPr>
  </w:style>
  <w:style w:type="character" w:customStyle="1" w:styleId="47">
    <w:name w:val="正文文本 字符"/>
    <w:basedOn w:val="18"/>
    <w:link w:val="7"/>
    <w:qFormat/>
    <w:uiPriority w:val="99"/>
    <w:rPr>
      <w:rFonts w:ascii="Calibri" w:hAnsi="Calibri"/>
      <w:kern w:val="2"/>
      <w:sz w:val="21"/>
      <w:szCs w:val="22"/>
    </w:rPr>
  </w:style>
  <w:style w:type="character" w:customStyle="1" w:styleId="48">
    <w:name w:val="apple-converted-space"/>
    <w:qFormat/>
    <w:uiPriority w:val="0"/>
  </w:style>
  <w:style w:type="character" w:customStyle="1" w:styleId="49">
    <w:name w:val="列表段落 字符"/>
    <w:link w:val="30"/>
    <w:qFormat/>
    <w:uiPriority w:val="0"/>
    <w:rPr>
      <w:rFonts w:ascii="Calibri" w:hAnsi="Calibri" w:eastAsia="宋体" w:cs="Times New Roman"/>
      <w:kern w:val="2"/>
      <w:sz w:val="18"/>
      <w:szCs w:val="18"/>
    </w:rPr>
  </w:style>
  <w:style w:type="character" w:customStyle="1" w:styleId="50">
    <w:name w:val="font41"/>
    <w:basedOn w:val="18"/>
    <w:qFormat/>
    <w:uiPriority w:val="0"/>
    <w:rPr>
      <w:rFonts w:hint="eastAsia" w:ascii="宋体" w:hAnsi="宋体" w:eastAsia="宋体" w:cs="宋体"/>
      <w:color w:val="000000"/>
      <w:sz w:val="20"/>
      <w:szCs w:val="20"/>
      <w:u w:val="none"/>
    </w:rPr>
  </w:style>
  <w:style w:type="paragraph" w:customStyle="1" w:styleId="51">
    <w:name w:val="标题 5（有编号）（绿盟科技）"/>
    <w:basedOn w:val="1"/>
    <w:next w:val="5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5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3">
    <w:name w:val="WPSOffice手动目录 1"/>
    <w:qFormat/>
    <w:uiPriority w:val="0"/>
    <w:rPr>
      <w:rFonts w:ascii="Times New Roman" w:hAnsi="Times New Roman" w:eastAsia="宋体" w:cs="Times New Roman"/>
      <w:lang w:val="en-US" w:eastAsia="zh-CN" w:bidi="ar-SA"/>
    </w:rPr>
  </w:style>
  <w:style w:type="character" w:customStyle="1" w:styleId="54">
    <w:name w:val="font01"/>
    <w:basedOn w:val="18"/>
    <w:qFormat/>
    <w:uiPriority w:val="0"/>
    <w:rPr>
      <w:rFonts w:hint="eastAsia" w:ascii="宋体" w:hAnsi="宋体" w:eastAsia="宋体" w:cs="宋体"/>
      <w:color w:val="000000"/>
      <w:sz w:val="24"/>
      <w:szCs w:val="24"/>
      <w:u w:val="none"/>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55E83-9B94-4877-B3E9-63797FE267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11221</Words>
  <Characters>11682</Characters>
  <Lines>69</Lines>
  <Paragraphs>19</Paragraphs>
  <TotalTime>21</TotalTime>
  <ScaleCrop>false</ScaleCrop>
  <LinksUpToDate>false</LinksUpToDate>
  <CharactersWithSpaces>12482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2019-09-16T08:26:00Z</dcterms:created>
  <dc:creator>Administrator</dc:creator>
  <cp:lastModifiedBy>张永</cp:lastModifiedBy>
  <cp:lastPrinted>2024-11-04T02:19:00Z</cp:lastPrinted>
  <dcterms:modified xsi:type="dcterms:W3CDTF">2024-11-04T10:25:53Z</dcterms:modified>
  <dc:title>泸县2024年柑橘黄龙病监测调查及柑橘木虱普查</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31CEAFD78D0F4C85A351065F08868009_13</vt:lpwstr>
  </property>
</Properties>
</file>